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139" w:rsidRPr="007F26D7" w:rsidRDefault="00DD3139" w:rsidP="00DD3139">
      <w:pPr>
        <w:pStyle w:val="a6"/>
        <w:rPr>
          <w:b/>
          <w:i w:val="0"/>
          <w:iCs/>
          <w:szCs w:val="28"/>
        </w:rPr>
      </w:pPr>
      <w:r w:rsidRPr="007F26D7">
        <w:rPr>
          <w:b/>
          <w:i w:val="0"/>
          <w:iCs/>
          <w:szCs w:val="28"/>
        </w:rPr>
        <w:t>ПОЯСНИТЕЛЬНАЯ ЗАПИСКА</w:t>
      </w:r>
    </w:p>
    <w:p w:rsidR="00DD3139" w:rsidRPr="007F26D7" w:rsidRDefault="00DD3139" w:rsidP="00DD3139">
      <w:pPr>
        <w:pStyle w:val="a3"/>
        <w:jc w:val="center"/>
        <w:rPr>
          <w:b/>
          <w:iCs/>
          <w:sz w:val="28"/>
          <w:szCs w:val="28"/>
        </w:rPr>
      </w:pPr>
      <w:r w:rsidRPr="007F26D7">
        <w:rPr>
          <w:b/>
          <w:iCs/>
          <w:sz w:val="28"/>
          <w:szCs w:val="28"/>
        </w:rPr>
        <w:t xml:space="preserve">к проекту решения Совета Апшеронского городского поселения Апшеронского района «О бюджете Апшеронского городского поселения Апшеронского района на </w:t>
      </w:r>
      <w:r w:rsidR="00ED6E25">
        <w:rPr>
          <w:b/>
          <w:iCs/>
          <w:sz w:val="28"/>
          <w:szCs w:val="28"/>
        </w:rPr>
        <w:t>202</w:t>
      </w:r>
      <w:r w:rsidR="00817682">
        <w:rPr>
          <w:b/>
          <w:iCs/>
          <w:sz w:val="28"/>
          <w:szCs w:val="28"/>
        </w:rPr>
        <w:t>4</w:t>
      </w:r>
      <w:r w:rsidRPr="007F26D7">
        <w:rPr>
          <w:b/>
          <w:iCs/>
          <w:sz w:val="28"/>
          <w:szCs w:val="28"/>
        </w:rPr>
        <w:t xml:space="preserve"> год»</w:t>
      </w:r>
    </w:p>
    <w:p w:rsidR="00CF433C" w:rsidRPr="007F26D7" w:rsidRDefault="00CF433C" w:rsidP="00DD3139">
      <w:pPr>
        <w:pStyle w:val="a3"/>
        <w:jc w:val="center"/>
        <w:rPr>
          <w:b/>
          <w:iCs/>
          <w:sz w:val="28"/>
          <w:szCs w:val="28"/>
        </w:rPr>
      </w:pPr>
    </w:p>
    <w:p w:rsidR="00CF433C" w:rsidRPr="007F26D7" w:rsidRDefault="00CF433C" w:rsidP="00CF433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Настоящая пояснительная записка содержит информацию об основных параметрах доходной и расходной частей бюджета Апшеронского городского поселения Апшеронского района на </w:t>
      </w:r>
      <w:r w:rsidR="00132B03" w:rsidRPr="007F26D7">
        <w:rPr>
          <w:rFonts w:ascii="Times New Roman" w:hAnsi="Times New Roman" w:cs="Times New Roman"/>
          <w:sz w:val="28"/>
          <w:szCs w:val="28"/>
        </w:rPr>
        <w:t>202</w:t>
      </w:r>
      <w:r w:rsidR="00A24E67">
        <w:rPr>
          <w:rFonts w:ascii="Times New Roman" w:hAnsi="Times New Roman" w:cs="Times New Roman"/>
          <w:sz w:val="28"/>
          <w:szCs w:val="28"/>
        </w:rPr>
        <w:t>4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 и подходах, применяемых при их формировании.</w:t>
      </w:r>
    </w:p>
    <w:p w:rsidR="00CF433C" w:rsidRPr="007F26D7" w:rsidRDefault="00CF433C" w:rsidP="00CF433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При формировании параметров проекта бюджета поселения на </w:t>
      </w:r>
      <w:r w:rsidR="004A7590" w:rsidRPr="007F26D7">
        <w:rPr>
          <w:rFonts w:ascii="Times New Roman" w:hAnsi="Times New Roman" w:cs="Times New Roman"/>
          <w:sz w:val="28"/>
          <w:szCs w:val="28"/>
        </w:rPr>
        <w:t>20</w:t>
      </w:r>
      <w:r w:rsidR="00132B03" w:rsidRPr="007F26D7">
        <w:rPr>
          <w:rFonts w:ascii="Times New Roman" w:hAnsi="Times New Roman" w:cs="Times New Roman"/>
          <w:sz w:val="28"/>
          <w:szCs w:val="28"/>
        </w:rPr>
        <w:t>2</w:t>
      </w:r>
      <w:r w:rsidR="00001A7F">
        <w:rPr>
          <w:rFonts w:ascii="Times New Roman" w:hAnsi="Times New Roman" w:cs="Times New Roman"/>
          <w:sz w:val="28"/>
          <w:szCs w:val="28"/>
        </w:rPr>
        <w:t>3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 рассматривался принцип концентрации бюджетных ресурсов бюджета поселения на важнейших направлениях социально-экономического развития поселения, установленных в рамках статьи 14 Федерального закона №131-ФЗ «Об общих принципах организации местного самоуправления в Российской Федерации». При этом ставились задачи в максимально возможной степени исключить избыточные, второстепенные расходы поселения и несоответствующие функции муниципальных органов исполнительной власти, которые могут осуществляться за счет регионального бюджета, частного сектора экономики, а также такие муниципальные расходные полномочия, которые, ввиду ограниченности бюджетных ресурсов, не могут быть обеспечены финансированием за счет бюджета поселения.  </w:t>
      </w:r>
    </w:p>
    <w:p w:rsidR="00CF433C" w:rsidRPr="007F26D7" w:rsidRDefault="00CF433C" w:rsidP="00CF433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решения Совета Апшеронского городского поселения Апшеронского района «О бюджетном устройстве и бюджетном процессе в Апшеронском городском поселении Апшеронского района», иных законодательных и нормативных правовых актов Российской Федерации, Краснодарского края, муниципального образования Апшеронский район, Апшеронского городского поселения Апшеронского района.</w:t>
      </w:r>
    </w:p>
    <w:p w:rsidR="00CF433C" w:rsidRPr="007F26D7" w:rsidRDefault="00CF433C" w:rsidP="00CF433C">
      <w:pPr>
        <w:pStyle w:val="3"/>
        <w:rPr>
          <w:iCs/>
          <w:color w:val="FF0000"/>
          <w:szCs w:val="28"/>
        </w:rPr>
      </w:pPr>
    </w:p>
    <w:p w:rsidR="00CF433C" w:rsidRPr="007F26D7" w:rsidRDefault="00CF433C" w:rsidP="00CF433C">
      <w:pPr>
        <w:pStyle w:val="a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433C" w:rsidRPr="007F26D7" w:rsidRDefault="00CF433C" w:rsidP="00CF433C">
      <w:pPr>
        <w:pStyle w:val="a5"/>
        <w:ind w:left="0" w:right="0"/>
        <w:jc w:val="center"/>
        <w:rPr>
          <w:b/>
          <w:iCs/>
          <w:szCs w:val="28"/>
        </w:rPr>
      </w:pPr>
      <w:r w:rsidRPr="007F26D7">
        <w:rPr>
          <w:b/>
          <w:szCs w:val="28"/>
        </w:rPr>
        <w:t>Основные характеристики проекта</w:t>
      </w:r>
      <w:r w:rsidR="00AF6F8F">
        <w:rPr>
          <w:b/>
          <w:szCs w:val="28"/>
        </w:rPr>
        <w:t xml:space="preserve"> </w:t>
      </w:r>
      <w:r w:rsidRPr="007F26D7">
        <w:rPr>
          <w:b/>
          <w:szCs w:val="28"/>
        </w:rPr>
        <w:t xml:space="preserve">бюджета </w:t>
      </w:r>
      <w:r w:rsidRPr="007F26D7">
        <w:rPr>
          <w:b/>
          <w:iCs/>
          <w:szCs w:val="28"/>
        </w:rPr>
        <w:t>Апшеронского городского поселения Апшеронского района</w:t>
      </w:r>
      <w:r w:rsidR="00132B03" w:rsidRPr="007F26D7">
        <w:rPr>
          <w:b/>
          <w:iCs/>
          <w:szCs w:val="28"/>
        </w:rPr>
        <w:t xml:space="preserve"> </w:t>
      </w:r>
      <w:r w:rsidRPr="007F26D7">
        <w:rPr>
          <w:b/>
          <w:szCs w:val="28"/>
        </w:rPr>
        <w:t>на</w:t>
      </w:r>
      <w:r w:rsidR="00132B03" w:rsidRPr="007F26D7">
        <w:rPr>
          <w:b/>
          <w:szCs w:val="28"/>
        </w:rPr>
        <w:t xml:space="preserve"> 202</w:t>
      </w:r>
      <w:r w:rsidR="00A24E67">
        <w:rPr>
          <w:b/>
          <w:szCs w:val="28"/>
        </w:rPr>
        <w:t>4</w:t>
      </w:r>
      <w:r w:rsidRPr="007F26D7">
        <w:rPr>
          <w:b/>
          <w:szCs w:val="28"/>
        </w:rPr>
        <w:t xml:space="preserve"> год</w:t>
      </w:r>
    </w:p>
    <w:p w:rsidR="00CF433C" w:rsidRPr="007F26D7" w:rsidRDefault="00CF433C" w:rsidP="00CF433C">
      <w:pPr>
        <w:shd w:val="clear" w:color="auto" w:fill="FFFFFF"/>
        <w:tabs>
          <w:tab w:val="left" w:pos="568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24E67" w:rsidRDefault="00CF433C" w:rsidP="00CF433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поселения, основные параметры бюджета </w:t>
      </w:r>
      <w:r w:rsidRPr="007F26D7">
        <w:rPr>
          <w:rFonts w:ascii="Times New Roman" w:hAnsi="Times New Roman" w:cs="Times New Roman"/>
          <w:bCs/>
          <w:iCs/>
          <w:sz w:val="28"/>
          <w:szCs w:val="28"/>
        </w:rPr>
        <w:t>Апшеронского городского поселения Апшеронского района</w:t>
      </w:r>
      <w:r w:rsidRPr="007F26D7">
        <w:rPr>
          <w:rFonts w:ascii="Times New Roman" w:hAnsi="Times New Roman" w:cs="Times New Roman"/>
          <w:bCs/>
          <w:sz w:val="28"/>
          <w:szCs w:val="28"/>
        </w:rPr>
        <w:t xml:space="preserve"> опре</w:t>
      </w:r>
      <w:r w:rsidRPr="007F26D7">
        <w:rPr>
          <w:rFonts w:ascii="Times New Roman" w:hAnsi="Times New Roman" w:cs="Times New Roman"/>
          <w:sz w:val="28"/>
          <w:szCs w:val="28"/>
        </w:rPr>
        <w:t xml:space="preserve">делились по доходам – в сумме </w:t>
      </w:r>
      <w:r w:rsidR="00A24E67">
        <w:rPr>
          <w:rFonts w:ascii="Times New Roman" w:hAnsi="Times New Roman" w:cs="Times New Roman"/>
          <w:b/>
          <w:sz w:val="28"/>
          <w:szCs w:val="28"/>
        </w:rPr>
        <w:t>285365,2</w:t>
      </w:r>
      <w:r w:rsidRPr="007F26D7">
        <w:rPr>
          <w:rFonts w:ascii="Times New Roman" w:hAnsi="Times New Roman" w:cs="Times New Roman"/>
          <w:sz w:val="28"/>
          <w:szCs w:val="28"/>
        </w:rPr>
        <w:t xml:space="preserve"> тыс. рублей, по расходам – в сумме </w:t>
      </w:r>
      <w:r w:rsidR="00A24E67">
        <w:rPr>
          <w:rFonts w:ascii="Times New Roman" w:hAnsi="Times New Roman" w:cs="Times New Roman"/>
          <w:b/>
          <w:sz w:val="28"/>
          <w:szCs w:val="28"/>
        </w:rPr>
        <w:t>285365,2</w:t>
      </w:r>
      <w:r w:rsidRPr="007F26D7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2A52EC">
        <w:rPr>
          <w:rFonts w:ascii="Times New Roman" w:hAnsi="Times New Roman" w:cs="Times New Roman"/>
          <w:sz w:val="28"/>
          <w:szCs w:val="28"/>
        </w:rPr>
        <w:t>де</w:t>
      </w:r>
      <w:r w:rsidRPr="007F26D7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 w:rsidR="002A52EC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2A52EC">
        <w:rPr>
          <w:rFonts w:ascii="Times New Roman" w:hAnsi="Times New Roman" w:cs="Times New Roman"/>
          <w:b/>
          <w:sz w:val="28"/>
          <w:szCs w:val="28"/>
        </w:rPr>
        <w:t>0</w:t>
      </w:r>
      <w:r w:rsidRPr="007F26D7">
        <w:rPr>
          <w:rFonts w:ascii="Times New Roman" w:hAnsi="Times New Roman" w:cs="Times New Roman"/>
          <w:b/>
          <w:sz w:val="28"/>
          <w:szCs w:val="28"/>
        </w:rPr>
        <w:t>,0</w:t>
      </w:r>
      <w:r w:rsidR="00A4261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4E67" w:rsidRDefault="00A24E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F433C" w:rsidRPr="007F26D7" w:rsidRDefault="00CF433C" w:rsidP="00CF433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433C" w:rsidRPr="007F26D7" w:rsidRDefault="00CF433C" w:rsidP="00CF433C">
      <w:pPr>
        <w:pStyle w:val="3"/>
        <w:rPr>
          <w:iCs/>
          <w:color w:val="FF0000"/>
          <w:szCs w:val="28"/>
        </w:rPr>
      </w:pPr>
    </w:p>
    <w:p w:rsidR="00CF433C" w:rsidRPr="007F26D7" w:rsidRDefault="00CF433C" w:rsidP="00CF433C">
      <w:pPr>
        <w:pStyle w:val="3"/>
        <w:rPr>
          <w:iCs/>
          <w:color w:val="FF0000"/>
          <w:szCs w:val="28"/>
        </w:rPr>
      </w:pPr>
    </w:p>
    <w:p w:rsidR="00CF433C" w:rsidRPr="007F26D7" w:rsidRDefault="00CF433C" w:rsidP="00CF433C">
      <w:pPr>
        <w:pStyle w:val="3"/>
        <w:numPr>
          <w:ilvl w:val="0"/>
          <w:numId w:val="2"/>
        </w:numPr>
        <w:jc w:val="center"/>
        <w:rPr>
          <w:b/>
          <w:bCs/>
          <w:iCs/>
          <w:szCs w:val="28"/>
        </w:rPr>
      </w:pPr>
      <w:r w:rsidRPr="007F26D7">
        <w:rPr>
          <w:b/>
          <w:bCs/>
          <w:iCs/>
          <w:szCs w:val="28"/>
        </w:rPr>
        <w:t xml:space="preserve">Формирование доходной базы бюджета поселения на </w:t>
      </w:r>
      <w:r w:rsidR="00D732E2" w:rsidRPr="007F26D7">
        <w:rPr>
          <w:b/>
          <w:bCs/>
          <w:iCs/>
          <w:szCs w:val="28"/>
        </w:rPr>
        <w:t>202</w:t>
      </w:r>
      <w:r w:rsidR="00A24E67">
        <w:rPr>
          <w:b/>
          <w:bCs/>
          <w:iCs/>
          <w:szCs w:val="28"/>
        </w:rPr>
        <w:t>4</w:t>
      </w:r>
      <w:r w:rsidRPr="007F26D7">
        <w:rPr>
          <w:b/>
          <w:bCs/>
          <w:iCs/>
          <w:szCs w:val="28"/>
        </w:rPr>
        <w:t xml:space="preserve"> год</w:t>
      </w: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433C" w:rsidRPr="007F26D7" w:rsidRDefault="00CF433C" w:rsidP="00CF433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26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формировании объема налоговых и неналоговых доходов бюджета поселения учитывались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приоритеты, сформулированные в Основных направлениях бюджетной и налоговой политики Апшеронского городского поселения Апшеронского района на </w:t>
      </w:r>
      <w:r w:rsidR="00D732E2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24E6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</w:t>
      </w:r>
      <w:r w:rsidR="00D732E2" w:rsidRPr="007F26D7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24E6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A24E6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Pr="007F26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 также предполагаемые к принятию изменения в налоговое и бюджетное законодательство и нормативные правовые акты, вступающие в силу с 1 января </w:t>
      </w:r>
      <w:r w:rsidR="00D732E2" w:rsidRPr="007F26D7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A24E67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7F26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Налоговая политика Апшеронского городского поселения Апшеронского района будет нацелена на обеспечение максимальной мобилизации налоговых платежей в бюджет поселения за счет роста экономических показателей деятельности хозяйствующих субъектов, поддержку инвестиционной привлекательности и выявления незадействованного налогового потенциала во всех отраслях хозяйственного комплекса.</w:t>
      </w:r>
    </w:p>
    <w:p w:rsidR="00CF433C" w:rsidRPr="007F26D7" w:rsidRDefault="00CF433C" w:rsidP="00CF433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Собственные доходы бюджета поселения в </w:t>
      </w:r>
      <w:r w:rsidR="00D732E2" w:rsidRPr="007F26D7">
        <w:rPr>
          <w:rFonts w:ascii="Times New Roman" w:hAnsi="Times New Roman" w:cs="Times New Roman"/>
          <w:sz w:val="28"/>
          <w:szCs w:val="28"/>
        </w:rPr>
        <w:t>202</w:t>
      </w:r>
      <w:r w:rsidR="00001A7F">
        <w:rPr>
          <w:rFonts w:ascii="Times New Roman" w:hAnsi="Times New Roman" w:cs="Times New Roman"/>
          <w:sz w:val="28"/>
          <w:szCs w:val="28"/>
        </w:rPr>
        <w:t>3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году предусматриваются в сумме </w:t>
      </w:r>
      <w:r w:rsidR="00A24E67">
        <w:rPr>
          <w:rFonts w:ascii="Times New Roman" w:hAnsi="Times New Roman" w:cs="Times New Roman"/>
          <w:b/>
          <w:sz w:val="28"/>
          <w:szCs w:val="28"/>
        </w:rPr>
        <w:t>174214,5</w:t>
      </w:r>
      <w:r w:rsidRPr="007F26D7">
        <w:rPr>
          <w:rFonts w:ascii="Times New Roman" w:hAnsi="Times New Roman" w:cs="Times New Roman"/>
          <w:sz w:val="28"/>
          <w:szCs w:val="28"/>
        </w:rPr>
        <w:t xml:space="preserve"> тыс. рублей, из них налоговые доходы составляют –</w:t>
      </w:r>
      <w:r w:rsidR="00A24E67">
        <w:rPr>
          <w:rFonts w:ascii="Times New Roman" w:hAnsi="Times New Roman" w:cs="Times New Roman"/>
          <w:b/>
          <w:sz w:val="28"/>
          <w:szCs w:val="28"/>
        </w:rPr>
        <w:t>131657</w:t>
      </w:r>
      <w:r w:rsidRPr="002F76ED">
        <w:rPr>
          <w:rFonts w:ascii="Times New Roman" w:hAnsi="Times New Roman" w:cs="Times New Roman"/>
          <w:b/>
          <w:sz w:val="28"/>
          <w:szCs w:val="28"/>
        </w:rPr>
        <w:t>,</w:t>
      </w:r>
      <w:r w:rsidR="00001A7F">
        <w:rPr>
          <w:rFonts w:ascii="Times New Roman" w:hAnsi="Times New Roman" w:cs="Times New Roman"/>
          <w:b/>
          <w:sz w:val="28"/>
          <w:szCs w:val="28"/>
        </w:rPr>
        <w:t>0</w:t>
      </w:r>
      <w:r w:rsidRPr="007F26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6D7">
        <w:rPr>
          <w:rFonts w:ascii="Times New Roman" w:hAnsi="Times New Roman" w:cs="Times New Roman"/>
          <w:sz w:val="28"/>
          <w:szCs w:val="28"/>
        </w:rPr>
        <w:t>тыс. рублей, неналоговые доходы составляют –</w:t>
      </w:r>
      <w:r w:rsidR="00001A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4E67">
        <w:rPr>
          <w:rFonts w:ascii="Times New Roman" w:hAnsi="Times New Roman" w:cs="Times New Roman"/>
          <w:b/>
          <w:sz w:val="28"/>
          <w:szCs w:val="28"/>
        </w:rPr>
        <w:t>42557</w:t>
      </w:r>
      <w:r w:rsidRPr="007F26D7">
        <w:rPr>
          <w:rFonts w:ascii="Times New Roman" w:hAnsi="Times New Roman" w:cs="Times New Roman"/>
          <w:b/>
          <w:sz w:val="28"/>
          <w:szCs w:val="28"/>
        </w:rPr>
        <w:t>,</w:t>
      </w:r>
      <w:r w:rsidR="00A24E67">
        <w:rPr>
          <w:rFonts w:ascii="Times New Roman" w:hAnsi="Times New Roman" w:cs="Times New Roman"/>
          <w:b/>
          <w:sz w:val="28"/>
          <w:szCs w:val="28"/>
        </w:rPr>
        <w:t>5</w:t>
      </w:r>
      <w:r w:rsidRPr="007F26D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CF433C" w:rsidRPr="007F26D7" w:rsidRDefault="00E52458" w:rsidP="00CF433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ab/>
        <w:t xml:space="preserve">Безвозмездные поступления предусматриваются в сумме </w:t>
      </w:r>
      <w:r w:rsidR="00A24E67">
        <w:rPr>
          <w:rFonts w:ascii="Times New Roman" w:hAnsi="Times New Roman" w:cs="Times New Roman"/>
          <w:b/>
          <w:sz w:val="28"/>
          <w:szCs w:val="28"/>
        </w:rPr>
        <w:t>111150</w:t>
      </w:r>
      <w:r w:rsidR="00454778">
        <w:rPr>
          <w:rFonts w:ascii="Times New Roman" w:hAnsi="Times New Roman" w:cs="Times New Roman"/>
          <w:b/>
          <w:sz w:val="28"/>
          <w:szCs w:val="28"/>
        </w:rPr>
        <w:t>,</w:t>
      </w:r>
      <w:r w:rsidR="00A24E67">
        <w:rPr>
          <w:rFonts w:ascii="Times New Roman" w:hAnsi="Times New Roman" w:cs="Times New Roman"/>
          <w:b/>
          <w:sz w:val="28"/>
          <w:szCs w:val="28"/>
        </w:rPr>
        <w:t>7</w:t>
      </w:r>
      <w:r w:rsidRPr="007F2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.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Налоговые доходы бюджета поселения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 на доходы физических лиц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налога на доходы физических лиц в бюджет поселения в </w:t>
      </w:r>
      <w:r w:rsidR="0045477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24E6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сумме </w:t>
      </w:r>
      <w:r w:rsidR="00A24E67">
        <w:rPr>
          <w:rFonts w:ascii="Times New Roman" w:eastAsia="Times New Roman" w:hAnsi="Times New Roman" w:cs="Times New Roman"/>
          <w:sz w:val="28"/>
          <w:szCs w:val="28"/>
        </w:rPr>
        <w:t>64727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. Доля налога на доходы физических лиц в структуре </w:t>
      </w: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налоговых доходов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278E0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24E6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размере 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49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За основу расчета налога на доходы физических лиц на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приняты показатели прогноза налогооблагаемой базы, а также фонда оплаты труда.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Расчет прогноза поступления налогов произведен исходя из норматива от</w:t>
      </w:r>
      <w:r w:rsidR="004A7590" w:rsidRPr="007F26D7">
        <w:rPr>
          <w:rFonts w:ascii="Times New Roman" w:eastAsia="Times New Roman" w:hAnsi="Times New Roman" w:cs="Times New Roman"/>
          <w:sz w:val="28"/>
          <w:szCs w:val="28"/>
        </w:rPr>
        <w:t>числений в размере - 1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%, а также с учетом социально-экономического развития поселения.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Земельный налог</w:t>
      </w: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земельного налога в бюджет поселения в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сумме 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28259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. Доля земельного налога в структуре </w:t>
      </w: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налоговых доходов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447CE1">
        <w:rPr>
          <w:rFonts w:ascii="Times New Roman" w:eastAsia="Times New Roman" w:hAnsi="Times New Roman" w:cs="Times New Roman"/>
          <w:sz w:val="28"/>
          <w:szCs w:val="28"/>
        </w:rPr>
        <w:t>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размере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1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1863F5">
        <w:rPr>
          <w:rFonts w:ascii="Times New Roman" w:eastAsia="Times New Roman" w:hAnsi="Times New Roman" w:cs="Times New Roman"/>
          <w:sz w:val="28"/>
          <w:szCs w:val="28"/>
        </w:rPr>
        <w:t>5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За основу расчета земельного налога на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приняты показатели прогноза налогооблагаемой баз</w:t>
      </w:r>
      <w:r w:rsidR="00C81556">
        <w:rPr>
          <w:rFonts w:ascii="Times New Roman" w:eastAsia="Times New Roman" w:hAnsi="Times New Roman" w:cs="Times New Roman"/>
          <w:sz w:val="28"/>
          <w:szCs w:val="28"/>
        </w:rPr>
        <w:t>ы, а также налоговая база за 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из отчет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lastRenderedPageBreak/>
        <w:t>ных данных МИФНС России № 9 по Краснодарскому краю (форма № 5-МН) при налоговых ставках, установленных решени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Совета Апшеронского городского поселения Апшеронск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 xml:space="preserve">ого района от 7 ноября 2017 года № 217 «О земельном налоге» 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 на имущество физических лиц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Поступление налога на имущество физических лиц</w:t>
      </w:r>
      <w:r w:rsidR="00490E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 бюджет поселения в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году прогнозируется в сумме 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24657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,0</w:t>
      </w:r>
      <w:r w:rsidR="00490E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 Доля налога на</w:t>
      </w:r>
      <w:r w:rsidR="00490E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имущество физических лиц в структуре </w:t>
      </w: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налоговых доходов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размере 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8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1863F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За основу расчета налога на имущество физических лиц на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приняты показатели прогноза налогооблагаемой баз</w:t>
      </w:r>
      <w:r w:rsidR="00C81556">
        <w:rPr>
          <w:rFonts w:ascii="Times New Roman" w:eastAsia="Times New Roman" w:hAnsi="Times New Roman" w:cs="Times New Roman"/>
          <w:sz w:val="28"/>
          <w:szCs w:val="28"/>
        </w:rPr>
        <w:t>ы, а также налоговая база за 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из отчетных данных МИФНС России № 9по Краснодарскому краю (форма №5-МН) при налоговых ставках, установленных решением Совета Апшеронского городского поселения Апшеронского района от 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29 марта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251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«О налоге на имущество физических лиц».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Единый сельскохозяйственный налог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ЕСХН в бюджет поселения в </w:t>
      </w:r>
      <w:r w:rsidR="00C5270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сумме </w:t>
      </w:r>
      <w:r w:rsidR="00C81556">
        <w:rPr>
          <w:rFonts w:ascii="Times New Roman" w:eastAsia="Times New Roman" w:hAnsi="Times New Roman" w:cs="Times New Roman"/>
          <w:sz w:val="28"/>
          <w:szCs w:val="28"/>
        </w:rPr>
        <w:t>1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,0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. Доля ЕСХН в структуре </w:t>
      </w: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налоговых доходов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размере 0,1%. </w:t>
      </w: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При расчете учтен прогноз налогооблагаемой базы, динамика поступлений налога за ряд лет, а также данные МИФНС России № 9 по Краснодарскому краю.</w:t>
      </w:r>
    </w:p>
    <w:p w:rsidR="00CF433C" w:rsidRPr="007F26D7" w:rsidRDefault="00CF433C" w:rsidP="00CF43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Акцизы на нефтепродукты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Поступления акцизов на нефтепродукты в 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прогнозируются в сумме 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3868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1863F5">
        <w:rPr>
          <w:rFonts w:ascii="Times New Roman" w:eastAsia="Times New Roman" w:hAnsi="Times New Roman" w:cs="Times New Roman"/>
          <w:sz w:val="28"/>
          <w:szCs w:val="28"/>
        </w:rPr>
        <w:t>0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. Доля акцизов в структуре прогноза </w:t>
      </w: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налоговых доходов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бюджета поселения в 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на уровне 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Расчет акцизов произведен исходя из дифференцированного норматива отчислений от акцизов на нефтепродукты в размере – 0,0535.</w:t>
      </w:r>
    </w:p>
    <w:p w:rsidR="00CF433C" w:rsidRPr="007F26D7" w:rsidRDefault="00CF433C" w:rsidP="00CF43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Неналоговые доходы бюджета поселения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неналоговых доходов бюджета поселения в </w:t>
      </w:r>
      <w:r w:rsidR="004A7590" w:rsidRPr="007F26D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сумме 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42557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5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тыс. рублей. В структуре налоговых и неналоговых доходов бюджета поселения неналоговые доходы 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составят – 24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%. Прогноз поступлений неналоговых доходов бюджета поселения представлен главными администраторами доходов бюджета поселения.</w:t>
      </w:r>
    </w:p>
    <w:p w:rsidR="00DD3139" w:rsidRPr="007F26D7" w:rsidRDefault="00CF433C" w:rsidP="003A1FE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Структура неналоговых доходов бюджета поселения достаточно стабильна:</w:t>
      </w:r>
      <w:r w:rsidR="008F58AE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наибольший удельный вес имеют </w:t>
      </w:r>
      <w:r w:rsidR="002C4A5D" w:rsidRPr="007F26D7">
        <w:rPr>
          <w:rFonts w:ascii="Times New Roman" w:eastAsia="Times New Roman" w:hAnsi="Times New Roman" w:cs="Times New Roman"/>
          <w:sz w:val="28"/>
          <w:szCs w:val="28"/>
        </w:rPr>
        <w:t>доходы от арендной платы за землю (3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9</w:t>
      </w:r>
      <w:r w:rsidR="002C4A5D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C4A5D" w:rsidRPr="007F26D7">
        <w:rPr>
          <w:rFonts w:ascii="Times New Roman" w:eastAsia="Times New Roman" w:hAnsi="Times New Roman" w:cs="Times New Roman"/>
          <w:sz w:val="28"/>
          <w:szCs w:val="28"/>
        </w:rPr>
        <w:t>%)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доходы от сдачи имущества в аренду (</w:t>
      </w:r>
      <w:r w:rsidR="001863F5">
        <w:rPr>
          <w:rFonts w:ascii="Times New Roman" w:eastAsia="Times New Roman" w:hAnsi="Times New Roman" w:cs="Times New Roman"/>
          <w:sz w:val="28"/>
          <w:szCs w:val="28"/>
        </w:rPr>
        <w:t>3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4A5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%), </w:t>
      </w:r>
      <w:r w:rsidR="00FE0074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</w:t>
      </w:r>
      <w:r w:rsidR="00FE0074">
        <w:rPr>
          <w:rFonts w:ascii="Times New Roman" w:eastAsia="Times New Roman" w:hAnsi="Times New Roman" w:cs="Times New Roman"/>
          <w:sz w:val="28"/>
          <w:szCs w:val="28"/>
        </w:rPr>
        <w:lastRenderedPageBreak/>
        <w:t>имущества (</w:t>
      </w:r>
      <w:r w:rsidR="00FE0074">
        <w:rPr>
          <w:rFonts w:ascii="Times New Roman" w:eastAsia="Times New Roman" w:hAnsi="Times New Roman" w:cs="Times New Roman"/>
          <w:sz w:val="28"/>
          <w:szCs w:val="28"/>
        </w:rPr>
        <w:t>7</w:t>
      </w:r>
      <w:r w:rsidR="00FE0074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E0074">
        <w:rPr>
          <w:rFonts w:ascii="Times New Roman" w:eastAsia="Times New Roman" w:hAnsi="Times New Roman" w:cs="Times New Roman"/>
          <w:sz w:val="28"/>
          <w:szCs w:val="28"/>
        </w:rPr>
        <w:t>5</w:t>
      </w:r>
      <w:r w:rsidR="00FE0074">
        <w:rPr>
          <w:rFonts w:ascii="Times New Roman" w:eastAsia="Times New Roman" w:hAnsi="Times New Roman" w:cs="Times New Roman"/>
          <w:sz w:val="28"/>
          <w:szCs w:val="28"/>
        </w:rPr>
        <w:t>%),</w:t>
      </w:r>
      <w:r w:rsidR="00FE00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доходы от продажи земельных участков (</w:t>
      </w:r>
      <w:r w:rsidR="00FE0074">
        <w:rPr>
          <w:rFonts w:ascii="Times New Roman" w:eastAsia="Times New Roman" w:hAnsi="Times New Roman" w:cs="Times New Roman"/>
          <w:sz w:val="28"/>
          <w:szCs w:val="28"/>
        </w:rPr>
        <w:t>4</w:t>
      </w:r>
      <w:r w:rsidR="008F58AE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E0074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%), </w:t>
      </w:r>
      <w:r w:rsidR="00C81556">
        <w:rPr>
          <w:rFonts w:ascii="Times New Roman" w:eastAsia="Times New Roman" w:hAnsi="Times New Roman" w:cs="Times New Roman"/>
          <w:sz w:val="28"/>
          <w:szCs w:val="28"/>
        </w:rPr>
        <w:t xml:space="preserve">штрафы </w:t>
      </w:r>
      <w:r w:rsidR="00FE0074">
        <w:rPr>
          <w:rFonts w:ascii="Times New Roman" w:eastAsia="Times New Roman" w:hAnsi="Times New Roman" w:cs="Times New Roman"/>
          <w:sz w:val="28"/>
          <w:szCs w:val="28"/>
        </w:rPr>
        <w:t>(2</w:t>
      </w:r>
      <w:r w:rsidR="00C81556">
        <w:rPr>
          <w:rFonts w:ascii="Times New Roman" w:eastAsia="Times New Roman" w:hAnsi="Times New Roman" w:cs="Times New Roman"/>
          <w:sz w:val="28"/>
          <w:szCs w:val="28"/>
        </w:rPr>
        <w:t>,</w:t>
      </w:r>
      <w:r w:rsidR="00FB79E4">
        <w:rPr>
          <w:rFonts w:ascii="Times New Roman" w:eastAsia="Times New Roman" w:hAnsi="Times New Roman" w:cs="Times New Roman"/>
          <w:sz w:val="28"/>
          <w:szCs w:val="28"/>
        </w:rPr>
        <w:t>9</w:t>
      </w:r>
      <w:r w:rsidR="00C81556">
        <w:rPr>
          <w:rFonts w:ascii="Times New Roman" w:eastAsia="Times New Roman" w:hAnsi="Times New Roman" w:cs="Times New Roman"/>
          <w:sz w:val="28"/>
          <w:szCs w:val="28"/>
        </w:rPr>
        <w:t>%)</w:t>
      </w:r>
      <w:r w:rsidR="00592D3E">
        <w:rPr>
          <w:rFonts w:ascii="Times New Roman" w:eastAsia="Times New Roman" w:hAnsi="Times New Roman" w:cs="Times New Roman"/>
          <w:sz w:val="28"/>
          <w:szCs w:val="28"/>
        </w:rPr>
        <w:t>, прочие доходы от оказания платных услуг (0,4%), прочие неналоговые доходы (0,</w:t>
      </w:r>
      <w:r w:rsidR="00FB79E4">
        <w:rPr>
          <w:rFonts w:ascii="Times New Roman" w:eastAsia="Times New Roman" w:hAnsi="Times New Roman" w:cs="Times New Roman"/>
          <w:sz w:val="28"/>
          <w:szCs w:val="28"/>
        </w:rPr>
        <w:t>3</w:t>
      </w:r>
      <w:r w:rsidR="00592D3E">
        <w:rPr>
          <w:rFonts w:ascii="Times New Roman" w:eastAsia="Times New Roman" w:hAnsi="Times New Roman" w:cs="Times New Roman"/>
          <w:sz w:val="28"/>
          <w:szCs w:val="28"/>
        </w:rPr>
        <w:t>%).</w:t>
      </w:r>
    </w:p>
    <w:p w:rsidR="00410887" w:rsidRPr="007F26D7" w:rsidRDefault="00DA5576" w:rsidP="00FB79E4">
      <w:pPr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0887" w:rsidRPr="007F26D7">
        <w:rPr>
          <w:rFonts w:ascii="Times New Roman" w:eastAsia="Times New Roman" w:hAnsi="Times New Roman" w:cs="Times New Roman"/>
          <w:sz w:val="28"/>
          <w:szCs w:val="28"/>
        </w:rPr>
        <w:t xml:space="preserve">Структура </w:t>
      </w:r>
      <w:r w:rsidR="00592D3E">
        <w:rPr>
          <w:rFonts w:ascii="Times New Roman" w:eastAsia="Times New Roman" w:hAnsi="Times New Roman" w:cs="Times New Roman"/>
          <w:sz w:val="28"/>
          <w:szCs w:val="28"/>
        </w:rPr>
        <w:t>налоговых и неналоговых</w:t>
      </w:r>
      <w:r w:rsidR="00410887" w:rsidRPr="007F26D7">
        <w:rPr>
          <w:rFonts w:ascii="Times New Roman" w:eastAsia="Times New Roman" w:hAnsi="Times New Roman" w:cs="Times New Roman"/>
          <w:sz w:val="28"/>
          <w:szCs w:val="28"/>
        </w:rPr>
        <w:t xml:space="preserve"> доходов</w:t>
      </w:r>
      <w:r w:rsidR="001F0B71"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виде диаграммы</w:t>
      </w:r>
      <w:r w:rsidR="00A95BC7" w:rsidRPr="007F26D7">
        <w:rPr>
          <w:rFonts w:ascii="Times New Roman" w:eastAsia="Times New Roman" w:hAnsi="Times New Roman" w:cs="Times New Roman"/>
          <w:sz w:val="28"/>
          <w:szCs w:val="28"/>
        </w:rPr>
        <w:t xml:space="preserve"> выглядит следующим образом:</w:t>
      </w:r>
    </w:p>
    <w:p w:rsidR="00CB06DD" w:rsidRPr="007F26D7" w:rsidRDefault="00CB06DD" w:rsidP="00CB06D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6D7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CB06DD" w:rsidRPr="007F26D7" w:rsidRDefault="00CB06DD" w:rsidP="00CB06D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6DD" w:rsidRPr="007F26D7" w:rsidRDefault="00CB06DD" w:rsidP="00CB06D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FE007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7F26D7">
        <w:rPr>
          <w:rFonts w:ascii="Times New Roman" w:hAnsi="Times New Roman" w:cs="Times New Roman"/>
          <w:sz w:val="28"/>
          <w:szCs w:val="28"/>
        </w:rPr>
        <w:t xml:space="preserve">предусматриваются в сумме </w:t>
      </w:r>
      <w:r w:rsidR="00FE0074">
        <w:rPr>
          <w:rFonts w:ascii="Times New Roman" w:hAnsi="Times New Roman" w:cs="Times New Roman"/>
          <w:b/>
          <w:sz w:val="28"/>
          <w:szCs w:val="28"/>
        </w:rPr>
        <w:t>111150,7</w:t>
      </w:r>
      <w:r w:rsidRPr="007F2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, из них:</w:t>
      </w:r>
    </w:p>
    <w:p w:rsidR="00CB06DD" w:rsidRDefault="00CB06DD" w:rsidP="00CB06D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- Дотации бюджетам городских поселений на выравнивание бюджетной обеспеченности в сумме </w:t>
      </w:r>
      <w:r>
        <w:rPr>
          <w:rFonts w:ascii="Times New Roman" w:hAnsi="Times New Roman" w:cs="Times New Roman"/>
          <w:sz w:val="28"/>
          <w:szCs w:val="28"/>
        </w:rPr>
        <w:t>48540,7</w:t>
      </w:r>
      <w:r w:rsidRPr="007F2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;</w:t>
      </w:r>
    </w:p>
    <w:p w:rsidR="00CB06DD" w:rsidRPr="007F26D7" w:rsidRDefault="00CB06DD" w:rsidP="00CB06D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28A0">
        <w:rPr>
          <w:rFonts w:ascii="Times New Roman" w:hAnsi="Times New Roman" w:cs="Times New Roman"/>
          <w:sz w:val="28"/>
          <w:szCs w:val="28"/>
        </w:rPr>
        <w:t>Субсидии бюджетам бюджетной системы Российской Федерации (</w:t>
      </w:r>
      <w:proofErr w:type="gramStart"/>
      <w:r w:rsidRPr="000328A0">
        <w:rPr>
          <w:rFonts w:ascii="Times New Roman" w:hAnsi="Times New Roman" w:cs="Times New Roman"/>
          <w:sz w:val="28"/>
          <w:szCs w:val="28"/>
        </w:rPr>
        <w:t>межбюджетные  субсидии</w:t>
      </w:r>
      <w:proofErr w:type="gramEnd"/>
      <w:r w:rsidRPr="000328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E0074">
        <w:rPr>
          <w:rFonts w:ascii="Times New Roman" w:hAnsi="Times New Roman" w:cs="Times New Roman"/>
          <w:sz w:val="28"/>
          <w:szCs w:val="28"/>
        </w:rPr>
        <w:t>53113,7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B06DD" w:rsidRPr="007F26D7" w:rsidRDefault="00CB06DD" w:rsidP="00CB06D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- субвенции бюджетам муниципальных образований на осуществление отдельных</w:t>
      </w:r>
      <w:r w:rsidR="00FE0074">
        <w:rPr>
          <w:rFonts w:ascii="Times New Roman" w:hAnsi="Times New Roman" w:cs="Times New Roman"/>
          <w:sz w:val="28"/>
          <w:szCs w:val="28"/>
        </w:rPr>
        <w:t xml:space="preserve"> государственных полномочий по </w:t>
      </w:r>
      <w:r w:rsidRPr="007F26D7">
        <w:rPr>
          <w:rFonts w:ascii="Times New Roman" w:hAnsi="Times New Roman" w:cs="Times New Roman"/>
          <w:sz w:val="28"/>
          <w:szCs w:val="28"/>
        </w:rPr>
        <w:t xml:space="preserve">образованию и организации деятельности административных комиссий в сумме 12,4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;</w:t>
      </w:r>
    </w:p>
    <w:p w:rsidR="00CB06DD" w:rsidRPr="007F26D7" w:rsidRDefault="00CB06DD" w:rsidP="00CB06D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- Межбюджетные трансферты на осуществление части полномочий по созданию, содержанию и организации деятельности аварийно-спасательных служб и (или) аварийно-спасательных формирований на территории поселения в сумме </w:t>
      </w:r>
      <w:r w:rsidR="00FE0074">
        <w:rPr>
          <w:rFonts w:ascii="Times New Roman" w:hAnsi="Times New Roman" w:cs="Times New Roman"/>
          <w:sz w:val="28"/>
          <w:szCs w:val="28"/>
        </w:rPr>
        <w:t>9483,9</w:t>
      </w:r>
      <w:r w:rsidRPr="007F2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.</w:t>
      </w:r>
    </w:p>
    <w:p w:rsidR="00AE5F5A" w:rsidRDefault="00AE5F5A" w:rsidP="00DD3139">
      <w:pPr>
        <w:pStyle w:val="a8"/>
        <w:jc w:val="both"/>
        <w:rPr>
          <w:color w:val="FF0000"/>
        </w:rPr>
      </w:pPr>
    </w:p>
    <w:p w:rsidR="00E162FD" w:rsidRDefault="00E162FD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FD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486400" cy="781050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162FD" w:rsidRDefault="00E162FD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2FD" w:rsidRDefault="00E162FD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64D" w:rsidRDefault="007C56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52458" w:rsidRPr="007F26D7" w:rsidRDefault="00E52458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8AE" w:rsidRPr="007F26D7" w:rsidRDefault="008F58AE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139" w:rsidRPr="007F26D7" w:rsidRDefault="00DD3139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6D7">
        <w:rPr>
          <w:rFonts w:ascii="Times New Roman" w:hAnsi="Times New Roman" w:cs="Times New Roman"/>
          <w:b/>
          <w:sz w:val="28"/>
          <w:szCs w:val="28"/>
        </w:rPr>
        <w:t xml:space="preserve">2. Расходная часть бюджета поселения на </w:t>
      </w:r>
      <w:r w:rsidR="008F58AE" w:rsidRPr="007F26D7">
        <w:rPr>
          <w:rFonts w:ascii="Times New Roman" w:hAnsi="Times New Roman" w:cs="Times New Roman"/>
          <w:b/>
          <w:sz w:val="28"/>
          <w:szCs w:val="28"/>
        </w:rPr>
        <w:t>202</w:t>
      </w:r>
      <w:r w:rsidR="00C16848">
        <w:rPr>
          <w:rFonts w:ascii="Times New Roman" w:hAnsi="Times New Roman" w:cs="Times New Roman"/>
          <w:b/>
          <w:sz w:val="28"/>
          <w:szCs w:val="28"/>
        </w:rPr>
        <w:t>4</w:t>
      </w:r>
      <w:r w:rsidRPr="007F26D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E5B87" w:rsidRPr="007F26D7" w:rsidRDefault="00BE5B87" w:rsidP="00BE5B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B87" w:rsidRPr="007F26D7" w:rsidRDefault="00BE5B87" w:rsidP="00BE5B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</w:t>
      </w:r>
      <w:r w:rsidRPr="007F26D7">
        <w:rPr>
          <w:rFonts w:ascii="Times New Roman" w:hAnsi="Times New Roman" w:cs="Times New Roman"/>
          <w:iCs/>
          <w:sz w:val="28"/>
          <w:szCs w:val="28"/>
        </w:rPr>
        <w:t>поселения</w:t>
      </w:r>
      <w:r w:rsidRPr="007F26D7">
        <w:rPr>
          <w:rFonts w:ascii="Times New Roman" w:hAnsi="Times New Roman" w:cs="Times New Roman"/>
          <w:sz w:val="28"/>
          <w:szCs w:val="28"/>
        </w:rPr>
        <w:t xml:space="preserve"> на </w:t>
      </w:r>
      <w:r w:rsidR="008F58AE" w:rsidRPr="007F26D7">
        <w:rPr>
          <w:rFonts w:ascii="Times New Roman" w:hAnsi="Times New Roman" w:cs="Times New Roman"/>
          <w:sz w:val="28"/>
          <w:szCs w:val="28"/>
        </w:rPr>
        <w:t>202</w:t>
      </w:r>
      <w:r w:rsidR="00C16848">
        <w:rPr>
          <w:rFonts w:ascii="Times New Roman" w:hAnsi="Times New Roman" w:cs="Times New Roman"/>
          <w:sz w:val="28"/>
          <w:szCs w:val="28"/>
        </w:rPr>
        <w:t>4</w:t>
      </w:r>
      <w:r w:rsidR="008F58AE" w:rsidRPr="007F26D7">
        <w:rPr>
          <w:rFonts w:ascii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hAnsi="Times New Roman" w:cs="Times New Roman"/>
          <w:sz w:val="28"/>
          <w:szCs w:val="28"/>
        </w:rPr>
        <w:t xml:space="preserve">год </w:t>
      </w:r>
      <w:r w:rsidR="006C303E" w:rsidRPr="007F26D7">
        <w:rPr>
          <w:rFonts w:ascii="Times New Roman" w:hAnsi="Times New Roman" w:cs="Times New Roman"/>
          <w:sz w:val="28"/>
          <w:szCs w:val="28"/>
        </w:rPr>
        <w:t>составляет</w:t>
      </w:r>
      <w:r w:rsidR="008F58AE" w:rsidRPr="007F26D7">
        <w:rPr>
          <w:rFonts w:ascii="Times New Roman" w:hAnsi="Times New Roman" w:cs="Times New Roman"/>
          <w:sz w:val="28"/>
          <w:szCs w:val="28"/>
        </w:rPr>
        <w:t xml:space="preserve"> </w:t>
      </w:r>
      <w:r w:rsidR="00C16848">
        <w:rPr>
          <w:rFonts w:ascii="Times New Roman" w:hAnsi="Times New Roman" w:cs="Times New Roman"/>
          <w:b/>
          <w:sz w:val="28"/>
          <w:szCs w:val="28"/>
        </w:rPr>
        <w:t>285365</w:t>
      </w:r>
      <w:r w:rsidR="00E94C5D">
        <w:rPr>
          <w:rFonts w:ascii="Times New Roman" w:hAnsi="Times New Roman" w:cs="Times New Roman"/>
          <w:b/>
          <w:sz w:val="28"/>
          <w:szCs w:val="28"/>
        </w:rPr>
        <w:t>,</w:t>
      </w:r>
      <w:r w:rsidR="00C16848">
        <w:rPr>
          <w:rFonts w:ascii="Times New Roman" w:hAnsi="Times New Roman" w:cs="Times New Roman"/>
          <w:b/>
          <w:sz w:val="28"/>
          <w:szCs w:val="28"/>
        </w:rPr>
        <w:t>2</w:t>
      </w:r>
      <w:r w:rsidRPr="007F26D7">
        <w:rPr>
          <w:rFonts w:ascii="Times New Roman" w:hAnsi="Times New Roman" w:cs="Times New Roman"/>
          <w:sz w:val="28"/>
          <w:szCs w:val="28"/>
        </w:rPr>
        <w:t xml:space="preserve"> тыс. рублей. При формировании проекта бюджета поселения на </w:t>
      </w:r>
      <w:r w:rsidR="00E52458" w:rsidRPr="007F26D7">
        <w:rPr>
          <w:rFonts w:ascii="Times New Roman" w:hAnsi="Times New Roman" w:cs="Times New Roman"/>
          <w:sz w:val="28"/>
          <w:szCs w:val="28"/>
        </w:rPr>
        <w:t>202</w:t>
      </w:r>
      <w:r w:rsidR="00C16848">
        <w:rPr>
          <w:rFonts w:ascii="Times New Roman" w:hAnsi="Times New Roman" w:cs="Times New Roman"/>
          <w:sz w:val="28"/>
          <w:szCs w:val="28"/>
        </w:rPr>
        <w:t>4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 соблюден принцип адекватности реальных темпов роста бюджетных расходов темпам роста экономики.</w:t>
      </w:r>
    </w:p>
    <w:p w:rsidR="00DD3139" w:rsidRPr="007F26D7" w:rsidRDefault="00BE5B87" w:rsidP="00BE5B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В проекте бюджета поселения обеспечена реализация установленных стратегических целей и приоритетов Российской Федерации, ключевыми из которых является обеспечение достойной жизни для граждан, устойчивого роста для экономики, уверенности в будущем.</w:t>
      </w:r>
    </w:p>
    <w:p w:rsidR="00DD3139" w:rsidRPr="007F26D7" w:rsidRDefault="00FC5650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В целях выполнения требований Федерального закона от 07 мая 2013 года №104-ФЗ «О</w:t>
      </w:r>
      <w:r w:rsidR="004F41C1">
        <w:rPr>
          <w:rFonts w:ascii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hAnsi="Times New Roman" w:cs="Times New Roman"/>
          <w:sz w:val="28"/>
          <w:szCs w:val="28"/>
        </w:rPr>
        <w:t xml:space="preserve">внесении изменений в бюджетный Кодекс РФ и отдельные законодательные акты РФ в связи с совершенствованием бюджетного процесса» </w:t>
      </w:r>
      <w:r w:rsidR="000E7883" w:rsidRPr="007F26D7">
        <w:rPr>
          <w:rFonts w:ascii="Times New Roman" w:hAnsi="Times New Roman" w:cs="Times New Roman"/>
          <w:sz w:val="28"/>
          <w:szCs w:val="28"/>
        </w:rPr>
        <w:t>п</w:t>
      </w:r>
      <w:r w:rsidR="00DD3139" w:rsidRPr="007F26D7">
        <w:rPr>
          <w:rFonts w:ascii="Times New Roman" w:hAnsi="Times New Roman" w:cs="Times New Roman"/>
          <w:sz w:val="28"/>
          <w:szCs w:val="28"/>
        </w:rPr>
        <w:t>ри формировании расходной части бюджета поселения</w:t>
      </w:r>
      <w:r w:rsidR="005E70E1" w:rsidRPr="007F26D7">
        <w:rPr>
          <w:rFonts w:ascii="Times New Roman" w:hAnsi="Times New Roman" w:cs="Times New Roman"/>
          <w:sz w:val="28"/>
          <w:szCs w:val="28"/>
        </w:rPr>
        <w:t>,</w:t>
      </w:r>
      <w:r w:rsidR="00E52458" w:rsidRPr="007F26D7">
        <w:rPr>
          <w:rFonts w:ascii="Times New Roman" w:hAnsi="Times New Roman" w:cs="Times New Roman"/>
          <w:sz w:val="28"/>
          <w:szCs w:val="28"/>
        </w:rPr>
        <w:t xml:space="preserve"> </w:t>
      </w:r>
      <w:r w:rsidR="000E7883" w:rsidRPr="007F26D7">
        <w:rPr>
          <w:rFonts w:ascii="Times New Roman" w:hAnsi="Times New Roman" w:cs="Times New Roman"/>
          <w:sz w:val="28"/>
          <w:szCs w:val="28"/>
        </w:rPr>
        <w:t>начиная с 2</w:t>
      </w:r>
      <w:r w:rsidR="004A3093" w:rsidRPr="007F26D7">
        <w:rPr>
          <w:rFonts w:ascii="Times New Roman" w:hAnsi="Times New Roman" w:cs="Times New Roman"/>
          <w:sz w:val="28"/>
          <w:szCs w:val="28"/>
        </w:rPr>
        <w:t>01</w:t>
      </w:r>
      <w:r w:rsidR="000E7883" w:rsidRPr="007F26D7">
        <w:rPr>
          <w:rFonts w:ascii="Times New Roman" w:hAnsi="Times New Roman" w:cs="Times New Roman"/>
          <w:sz w:val="28"/>
          <w:szCs w:val="28"/>
        </w:rPr>
        <w:t xml:space="preserve">5 года </w:t>
      </w:r>
      <w:r w:rsidR="00DD3139" w:rsidRPr="007F26D7">
        <w:rPr>
          <w:rFonts w:ascii="Times New Roman" w:hAnsi="Times New Roman" w:cs="Times New Roman"/>
          <w:sz w:val="28"/>
          <w:szCs w:val="28"/>
        </w:rPr>
        <w:t xml:space="preserve">применен программно-целевой подход. </w:t>
      </w:r>
    </w:p>
    <w:p w:rsidR="000E7883" w:rsidRPr="007F26D7" w:rsidRDefault="000E7883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Муниципальные программы и программный бюджет являются инструментами в системе муниципального управления. При чем очень важными инструментами, при помощи которых становится возможным оценивать использование бюджетных средств, с точки зрения результативности и эффективности.</w:t>
      </w:r>
    </w:p>
    <w:p w:rsidR="000E7883" w:rsidRPr="007F26D7" w:rsidRDefault="000E7883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Муниципальные программы призваны настроить, установить взаимосвязь между целями и задачами, с одной стороны, и ресурсами, с другой.</w:t>
      </w:r>
    </w:p>
    <w:p w:rsidR="000E7883" w:rsidRPr="007F26D7" w:rsidRDefault="006B7CEF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Муниципальные программы Апшеронского городского поселения Апшеронского района утверждены сроком на три года, и охватывают все</w:t>
      </w:r>
      <w:r w:rsidR="00F75A21" w:rsidRPr="007F26D7">
        <w:rPr>
          <w:rFonts w:ascii="Times New Roman" w:hAnsi="Times New Roman" w:cs="Times New Roman"/>
          <w:sz w:val="28"/>
          <w:szCs w:val="28"/>
        </w:rPr>
        <w:t xml:space="preserve"> полномочия поселения установленные в рамках статьи 14 Федерального закона №131-ФЗ «Об общих принципах организации местного самоуправления в Российской Федерации».</w:t>
      </w:r>
    </w:p>
    <w:p w:rsidR="00AB0F19" w:rsidRPr="007F26D7" w:rsidRDefault="008A3A67" w:rsidP="00CB767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В бюджете поселения утверждено 1</w:t>
      </w:r>
      <w:r w:rsidR="005E70E1" w:rsidRPr="007F26D7">
        <w:rPr>
          <w:rFonts w:ascii="Times New Roman" w:hAnsi="Times New Roman" w:cs="Times New Roman"/>
          <w:sz w:val="28"/>
          <w:szCs w:val="28"/>
        </w:rPr>
        <w:t>1</w:t>
      </w:r>
      <w:r w:rsidRPr="007F26D7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ED48C1">
        <w:rPr>
          <w:rFonts w:ascii="Times New Roman" w:hAnsi="Times New Roman" w:cs="Times New Roman"/>
          <w:sz w:val="28"/>
          <w:szCs w:val="28"/>
        </w:rPr>
        <w:t xml:space="preserve"> </w:t>
      </w:r>
      <w:r w:rsidR="00970EE4" w:rsidRPr="007F26D7">
        <w:rPr>
          <w:rFonts w:ascii="Times New Roman" w:hAnsi="Times New Roman" w:cs="Times New Roman"/>
          <w:sz w:val="28"/>
          <w:szCs w:val="28"/>
        </w:rPr>
        <w:t xml:space="preserve">(с подпрограммами) </w:t>
      </w:r>
      <w:r w:rsidR="00531ACC" w:rsidRPr="007F26D7">
        <w:rPr>
          <w:rFonts w:ascii="Times New Roman" w:hAnsi="Times New Roman" w:cs="Times New Roman"/>
          <w:sz w:val="28"/>
          <w:szCs w:val="28"/>
        </w:rPr>
        <w:t xml:space="preserve">с объёмами финансирования на </w:t>
      </w:r>
      <w:r w:rsidR="00E52458" w:rsidRPr="007F26D7">
        <w:rPr>
          <w:rFonts w:ascii="Times New Roman" w:hAnsi="Times New Roman" w:cs="Times New Roman"/>
          <w:sz w:val="28"/>
          <w:szCs w:val="28"/>
        </w:rPr>
        <w:t>202</w:t>
      </w:r>
      <w:r w:rsidR="00C16848">
        <w:rPr>
          <w:rFonts w:ascii="Times New Roman" w:hAnsi="Times New Roman" w:cs="Times New Roman"/>
          <w:sz w:val="28"/>
          <w:szCs w:val="28"/>
        </w:rPr>
        <w:t>4</w:t>
      </w:r>
      <w:r w:rsidR="00531ACC" w:rsidRPr="007F26D7">
        <w:rPr>
          <w:rFonts w:ascii="Times New Roman" w:hAnsi="Times New Roman" w:cs="Times New Roman"/>
          <w:sz w:val="28"/>
          <w:szCs w:val="28"/>
        </w:rPr>
        <w:t xml:space="preserve"> год</w:t>
      </w:r>
      <w:r w:rsidR="00AB0F19" w:rsidRPr="007F26D7">
        <w:rPr>
          <w:rFonts w:ascii="Times New Roman" w:hAnsi="Times New Roman" w:cs="Times New Roman"/>
          <w:sz w:val="28"/>
          <w:szCs w:val="28"/>
        </w:rPr>
        <w:t xml:space="preserve"> (таблица №1)</w:t>
      </w:r>
      <w:r w:rsidRPr="007F26D7">
        <w:rPr>
          <w:rFonts w:ascii="Times New Roman" w:hAnsi="Times New Roman" w:cs="Times New Roman"/>
          <w:sz w:val="28"/>
          <w:szCs w:val="28"/>
        </w:rPr>
        <w:t>:</w:t>
      </w:r>
    </w:p>
    <w:p w:rsidR="00FA5F72" w:rsidRPr="007F26D7" w:rsidRDefault="00FA5F72" w:rsidP="00CB767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FE2" w:rsidRPr="007F26D7" w:rsidRDefault="00AB0F19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Таблица №1</w:t>
      </w:r>
    </w:p>
    <w:p w:rsidR="00AB0F19" w:rsidRPr="007F26D7" w:rsidRDefault="00970EE4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40"/>
        <w:gridCol w:w="6705"/>
        <w:gridCol w:w="2268"/>
      </w:tblGrid>
      <w:tr w:rsidR="00DE5368" w:rsidRPr="007F26D7" w:rsidTr="00DE5368">
        <w:trPr>
          <w:trHeight w:val="7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"Развитие культуры"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C16848" w:rsidP="001C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54901</w:t>
            </w:r>
            <w:r w:rsidR="001C5194">
              <w:rPr>
                <w:rFonts w:ascii="Times New Roman" w:eastAsia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DE5368" w:rsidRPr="007F26D7" w:rsidTr="00DE5368">
        <w:trPr>
          <w:trHeight w:val="9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Апшеронского городского поселения Апшеронского района "Развитие физической культуры и спорта"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C16848" w:rsidP="00C1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4378</w:t>
            </w:r>
            <w:r w:rsidR="001C519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E5368" w:rsidRPr="007F26D7" w:rsidTr="00DE5368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"Развитие молодежной политики"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1C5194" w:rsidP="00C1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16848">
              <w:rPr>
                <w:rFonts w:ascii="Times New Roman" w:eastAsia="Times New Roman" w:hAnsi="Times New Roman" w:cs="Times New Roman"/>
                <w:sz w:val="28"/>
                <w:szCs w:val="28"/>
              </w:rPr>
              <w:t>475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E5368" w:rsidRPr="007F26D7" w:rsidTr="003A1FE2">
        <w:trPr>
          <w:trHeight w:val="9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"Обеспечение безопасности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C16848" w:rsidP="00C1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24200</w:t>
            </w:r>
            <w:r w:rsidR="001C519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E5368" w:rsidRPr="007F26D7" w:rsidTr="003A1FE2">
        <w:trPr>
          <w:trHeight w:val="9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"Управление муниципальным имуществом"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C1684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</w:t>
            </w:r>
            <w:r w:rsidR="001C519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E5368" w:rsidRPr="007F26D7" w:rsidTr="003A1FE2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"Социальная поддержка граждан"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C16848" w:rsidP="00C1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8810</w:t>
            </w:r>
            <w:r w:rsidR="001C519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5368" w:rsidRPr="007F26D7" w:rsidTr="00DE5368">
        <w:trPr>
          <w:trHeight w:val="14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"Развитие топливно-энергетического комплекса и жилищно-коммунального хозяйства"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C16848" w:rsidP="00C1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73419,8</w:t>
            </w:r>
          </w:p>
        </w:tc>
      </w:tr>
      <w:tr w:rsidR="00DE5368" w:rsidRPr="007F26D7" w:rsidTr="00DE5368">
        <w:trPr>
          <w:trHeight w:val="11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"Экономическое развитие муниципального образования"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C16848" w:rsidP="00C1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6471</w:t>
            </w:r>
            <w:r w:rsidR="001C519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E5368" w:rsidRPr="007F26D7" w:rsidTr="00DE5368">
        <w:trPr>
          <w:trHeight w:val="11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"Организация муниципального 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C16848" w:rsidP="00C1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34294</w:t>
            </w:r>
            <w:r w:rsidR="001C519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E5368" w:rsidRPr="007F26D7" w:rsidTr="00DE5368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"Комплексное и устойчивое развитие поселения в сфере строительства и дорожного хозяйства"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C16848" w:rsidP="00C1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24517,6</w:t>
            </w:r>
          </w:p>
        </w:tc>
      </w:tr>
      <w:tr w:rsidR="00DE5368" w:rsidRPr="007F26D7" w:rsidTr="00DE5368">
        <w:trPr>
          <w:trHeight w:val="1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"Формирование современной городской среды"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C16848" w:rsidP="00C1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50000</w:t>
            </w:r>
            <w:r w:rsidR="001C519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E5368" w:rsidRPr="007F26D7" w:rsidTr="00DE5368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368" w:rsidRPr="007F26D7" w:rsidRDefault="00DE5368" w:rsidP="00C16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  <w:r w:rsidR="003C0436"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 w:rsidR="003C0436"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</w:t>
            </w: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16848">
              <w:rPr>
                <w:rFonts w:ascii="Times New Roman" w:eastAsia="Times New Roman" w:hAnsi="Times New Roman" w:cs="Times New Roman"/>
                <w:sz w:val="28"/>
                <w:szCs w:val="28"/>
              </w:rPr>
              <w:t>283969</w:t>
            </w:r>
            <w:r w:rsidR="001C519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C1684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20211A" w:rsidRPr="007F26D7" w:rsidRDefault="0020211A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4D8E" w:rsidRPr="007F26D7" w:rsidRDefault="00BE5B87" w:rsidP="00914D8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В рамках муниципальных программ не отражены расходы </w:t>
      </w:r>
      <w:r w:rsidR="000832A2" w:rsidRPr="007F26D7">
        <w:rPr>
          <w:rFonts w:ascii="Times New Roman" w:hAnsi="Times New Roman" w:cs="Times New Roman"/>
          <w:sz w:val="28"/>
          <w:szCs w:val="28"/>
        </w:rPr>
        <w:t xml:space="preserve">(непрограммные направления деятельности органов местного самоуправления) </w:t>
      </w:r>
      <w:r w:rsidRPr="007F26D7">
        <w:rPr>
          <w:rFonts w:ascii="Times New Roman" w:hAnsi="Times New Roman" w:cs="Times New Roman"/>
          <w:sz w:val="28"/>
          <w:szCs w:val="28"/>
        </w:rPr>
        <w:t xml:space="preserve">на создание резервного фонда администрации поселения в сумме </w:t>
      </w:r>
      <w:r w:rsidR="00C16848">
        <w:rPr>
          <w:rFonts w:ascii="Times New Roman" w:hAnsi="Times New Roman" w:cs="Times New Roman"/>
          <w:sz w:val="28"/>
          <w:szCs w:val="28"/>
        </w:rPr>
        <w:t>7</w:t>
      </w:r>
      <w:r w:rsidR="001C5194">
        <w:rPr>
          <w:rFonts w:ascii="Times New Roman" w:hAnsi="Times New Roman" w:cs="Times New Roman"/>
          <w:b/>
          <w:sz w:val="28"/>
          <w:szCs w:val="28"/>
        </w:rPr>
        <w:t>00</w:t>
      </w:r>
      <w:r w:rsidRPr="007F26D7">
        <w:rPr>
          <w:rFonts w:ascii="Times New Roman" w:hAnsi="Times New Roman" w:cs="Times New Roman"/>
          <w:b/>
          <w:sz w:val="28"/>
          <w:szCs w:val="28"/>
        </w:rPr>
        <w:t>,0</w:t>
      </w:r>
      <w:r w:rsidR="000C24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C519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C5194">
        <w:rPr>
          <w:rFonts w:ascii="Times New Roman" w:hAnsi="Times New Roman" w:cs="Times New Roman"/>
          <w:sz w:val="28"/>
          <w:szCs w:val="28"/>
        </w:rPr>
        <w:t xml:space="preserve">., </w:t>
      </w:r>
      <w:r w:rsidRPr="007F26D7">
        <w:rPr>
          <w:rFonts w:ascii="Times New Roman" w:hAnsi="Times New Roman" w:cs="Times New Roman"/>
          <w:sz w:val="28"/>
          <w:szCs w:val="28"/>
        </w:rPr>
        <w:t xml:space="preserve">расходы по передаче полномочий Контрольно-счетной палата муниципального образования Апшеронский район в сумме </w:t>
      </w:r>
      <w:r w:rsidR="001C5194">
        <w:rPr>
          <w:rFonts w:ascii="Times New Roman" w:hAnsi="Times New Roman" w:cs="Times New Roman"/>
          <w:b/>
          <w:sz w:val="28"/>
          <w:szCs w:val="28"/>
        </w:rPr>
        <w:t>6</w:t>
      </w:r>
      <w:r w:rsidR="00C16848">
        <w:rPr>
          <w:rFonts w:ascii="Times New Roman" w:hAnsi="Times New Roman" w:cs="Times New Roman"/>
          <w:b/>
          <w:sz w:val="28"/>
          <w:szCs w:val="28"/>
        </w:rPr>
        <w:t>65,5</w:t>
      </w:r>
      <w:r w:rsidR="000C24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.</w:t>
      </w:r>
      <w:r w:rsidR="001C5194">
        <w:rPr>
          <w:rFonts w:ascii="Times New Roman" w:hAnsi="Times New Roman" w:cs="Times New Roman"/>
          <w:sz w:val="28"/>
          <w:szCs w:val="28"/>
        </w:rPr>
        <w:t xml:space="preserve">, расходы на содержание Совета Апшеронского городского поселения Апшеронского района </w:t>
      </w:r>
      <w:r w:rsidR="001C5194" w:rsidRPr="001C5194">
        <w:rPr>
          <w:rFonts w:ascii="Times New Roman" w:hAnsi="Times New Roman" w:cs="Times New Roman"/>
          <w:b/>
          <w:sz w:val="28"/>
          <w:szCs w:val="28"/>
        </w:rPr>
        <w:t xml:space="preserve">30,0 </w:t>
      </w:r>
      <w:proofErr w:type="spellStart"/>
      <w:r w:rsidR="001C519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C5194">
        <w:rPr>
          <w:rFonts w:ascii="Times New Roman" w:hAnsi="Times New Roman" w:cs="Times New Roman"/>
          <w:sz w:val="28"/>
          <w:szCs w:val="28"/>
        </w:rPr>
        <w:t>.</w:t>
      </w:r>
    </w:p>
    <w:p w:rsidR="00914D8E" w:rsidRPr="007F26D7" w:rsidRDefault="00914D8E" w:rsidP="00914D8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4845" w:rsidRPr="007F26D7" w:rsidRDefault="00164845" w:rsidP="00914D8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В разрезе муниципальных программ Апшеронского городского поселения Апшеронского района, можно выделить основные направления расходования средств, а именно:</w:t>
      </w:r>
    </w:p>
    <w:p w:rsidR="00164845" w:rsidRPr="007F26D7" w:rsidRDefault="00164845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Апшеронского городского поселения Апшеронского района "Развитие культуры", с объемом финан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 xml:space="preserve">сирования </w:t>
      </w:r>
      <w:r w:rsidR="00C16848">
        <w:rPr>
          <w:rFonts w:ascii="Times New Roman" w:eastAsia="Times New Roman" w:hAnsi="Times New Roman" w:cs="Times New Roman"/>
          <w:sz w:val="28"/>
          <w:szCs w:val="28"/>
        </w:rPr>
        <w:t>54901</w:t>
      </w:r>
      <w:r w:rsidR="00C332BA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1C5194">
        <w:rPr>
          <w:rFonts w:ascii="Times New Roman" w:eastAsia="Times New Roman" w:hAnsi="Times New Roman" w:cs="Times New Roman"/>
          <w:sz w:val="28"/>
          <w:szCs w:val="28"/>
        </w:rPr>
        <w:t>8</w:t>
      </w:r>
      <w:r w:rsidR="00380BDD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4845" w:rsidRPr="007F26D7" w:rsidRDefault="00164845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lastRenderedPageBreak/>
        <w:t>В рамках данной программы преду</w:t>
      </w:r>
      <w:r w:rsidR="007E4C63" w:rsidRPr="007F26D7">
        <w:rPr>
          <w:rFonts w:ascii="Times New Roman" w:eastAsia="Times New Roman" w:hAnsi="Times New Roman" w:cs="Times New Roman"/>
          <w:sz w:val="28"/>
          <w:szCs w:val="28"/>
        </w:rPr>
        <w:t xml:space="preserve">сматривается финансирование 4-х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подведомственных учреждений культуры (МКУ АИКМ, МКУК ЦБС, МКУ ГКДЦ Апшеронск, МАУ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ГПКиО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Юность)</w:t>
      </w:r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 xml:space="preserve">, объем финансирования составляет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53351,8</w:t>
      </w:r>
      <w:r w:rsidR="00380BDD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80BDD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 xml:space="preserve">В рамках расходов на содержание включены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затраты на ФОТ, </w:t>
      </w:r>
      <w:r w:rsidR="000F2B4F" w:rsidRPr="007F26D7">
        <w:rPr>
          <w:rFonts w:ascii="Times New Roman" w:eastAsia="Times New Roman" w:hAnsi="Times New Roman" w:cs="Times New Roman"/>
          <w:sz w:val="28"/>
          <w:szCs w:val="28"/>
        </w:rPr>
        <w:t>коммунальные расходы, содержание имущества, арен</w:t>
      </w:r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>да. Общая штатная численность в данных учреждениях составляет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76,5</w:t>
      </w:r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 xml:space="preserve"> штатных единиц.</w:t>
      </w:r>
    </w:p>
    <w:p w:rsidR="000F2B4F" w:rsidRPr="007F26D7" w:rsidRDefault="000F2B4F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Оставшаяся сумма средств в размере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550</w:t>
      </w:r>
      <w:r w:rsidR="004E0BA5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предусматривается на реализацию двух подпрограмм данной целевой программы:</w:t>
      </w:r>
    </w:p>
    <w:p w:rsidR="000F2B4F" w:rsidRPr="007F26D7" w:rsidRDefault="000F2B4F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«Праздничные даты» -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</w:t>
      </w:r>
      <w:r w:rsidR="004E0BA5">
        <w:rPr>
          <w:rFonts w:ascii="Times New Roman" w:eastAsia="Times New Roman" w:hAnsi="Times New Roman" w:cs="Times New Roman"/>
          <w:sz w:val="28"/>
          <w:szCs w:val="28"/>
        </w:rPr>
        <w:t>5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0</w:t>
      </w:r>
      <w:r w:rsidR="004E0BA5">
        <w:rPr>
          <w:rFonts w:ascii="Times New Roman" w:eastAsia="Times New Roman" w:hAnsi="Times New Roman" w:cs="Times New Roman"/>
          <w:sz w:val="28"/>
          <w:szCs w:val="28"/>
        </w:rPr>
        <w:t>0,0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</w:p>
    <w:p w:rsidR="000F2B4F" w:rsidRPr="007F26D7" w:rsidRDefault="000F2B4F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-</w:t>
      </w:r>
      <w:r w:rsidR="004E0B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«Восстановление, ремонт, благоустройство объектов культурного наследия на территории поселения» -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50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74FD" w:rsidRPr="007F26D7" w:rsidRDefault="004774FD" w:rsidP="000F2B4F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4FD" w:rsidRPr="007F26D7" w:rsidRDefault="000F2B4F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Апшеронского городского поселения Апшеронского района "Развитие физической культуры и спорта"</w:t>
      </w:r>
      <w:r w:rsidR="004774FD" w:rsidRPr="007F26D7">
        <w:rPr>
          <w:rFonts w:ascii="Times New Roman" w:eastAsia="Times New Roman" w:hAnsi="Times New Roman" w:cs="Times New Roman"/>
          <w:sz w:val="28"/>
          <w:szCs w:val="28"/>
        </w:rPr>
        <w:t xml:space="preserve">, с объемом финансирования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4378</w:t>
      </w:r>
      <w:r w:rsidR="005E6DD2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0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774FD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4774FD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74FD" w:rsidRPr="007F26D7" w:rsidRDefault="004774FD" w:rsidP="007E4C63">
      <w:pPr>
        <w:pStyle w:val="a8"/>
        <w:ind w:left="142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предусматривается:</w:t>
      </w:r>
    </w:p>
    <w:p w:rsidR="000F2B4F" w:rsidRPr="007F26D7" w:rsidRDefault="004774FD" w:rsidP="007E4C63">
      <w:pPr>
        <w:pStyle w:val="a8"/>
        <w:ind w:left="142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финансирование </w:t>
      </w:r>
      <w:proofErr w:type="gramStart"/>
      <w:r w:rsidRPr="007F26D7">
        <w:rPr>
          <w:rFonts w:ascii="Times New Roman" w:eastAsia="Times New Roman" w:hAnsi="Times New Roman" w:cs="Times New Roman"/>
          <w:sz w:val="28"/>
          <w:szCs w:val="28"/>
        </w:rPr>
        <w:t>некоммерческих организаций</w:t>
      </w:r>
      <w:proofErr w:type="gram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признанных социально ориентированными, в сумме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24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0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774FD" w:rsidRPr="007F26D7" w:rsidRDefault="004774FD" w:rsidP="007E4C63">
      <w:pPr>
        <w:pStyle w:val="a8"/>
        <w:ind w:left="142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субсидии МАУ Парк Юность, на выполнение муниципального задания (содержание спортивного инструктора) –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1278,0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774FD" w:rsidRPr="007F26D7" w:rsidRDefault="00324439" w:rsidP="007E4C63">
      <w:pPr>
        <w:pStyle w:val="a8"/>
        <w:ind w:left="142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так же реализация основных мероприятий данной программы (проведение спортивных соревнований, приобретение инвентаря) –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7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0</w:t>
      </w:r>
      <w:r w:rsidR="005E6DD2">
        <w:rPr>
          <w:rFonts w:ascii="Times New Roman" w:eastAsia="Times New Roman" w:hAnsi="Times New Roman" w:cs="Times New Roman"/>
          <w:sz w:val="28"/>
          <w:szCs w:val="28"/>
        </w:rPr>
        <w:t>0</w:t>
      </w:r>
      <w:r w:rsidR="00270A65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4439" w:rsidRPr="007F26D7" w:rsidRDefault="00324439" w:rsidP="007E4C63">
      <w:pPr>
        <w:pStyle w:val="a8"/>
        <w:ind w:left="142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4439" w:rsidRPr="007F26D7" w:rsidRDefault="00324439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"Развитие молодежной политики", с объемом финансирования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1475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4439" w:rsidRPr="007F26D7" w:rsidRDefault="00324439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 финансирование мероприятий по трем направлениям расходов:</w:t>
      </w:r>
    </w:p>
    <w:p w:rsidR="00324439" w:rsidRPr="007F26D7" w:rsidRDefault="00324439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- содержание спортивных и дворовых площадок</w:t>
      </w:r>
      <w:r w:rsidR="00832272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1200,0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24439" w:rsidRPr="007F26D7" w:rsidRDefault="00324439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32272" w:rsidRPr="007F26D7">
        <w:rPr>
          <w:rFonts w:ascii="Times New Roman" w:eastAsia="Times New Roman" w:hAnsi="Times New Roman" w:cs="Times New Roman"/>
          <w:sz w:val="28"/>
          <w:szCs w:val="28"/>
        </w:rPr>
        <w:t>проведение целенаправленной работы по профилактике распространения наркомании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6</w:t>
      </w:r>
      <w:r w:rsidR="00832272" w:rsidRPr="007F26D7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5D45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24439" w:rsidRPr="007F26D7" w:rsidRDefault="00324439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так же реализация основных мероприятий данной программы </w:t>
      </w:r>
      <w:r w:rsidR="0050400B" w:rsidRPr="007F26D7">
        <w:rPr>
          <w:rFonts w:ascii="Times New Roman" w:eastAsia="Times New Roman" w:hAnsi="Times New Roman" w:cs="Times New Roman"/>
          <w:sz w:val="28"/>
          <w:szCs w:val="28"/>
        </w:rPr>
        <w:t>(организация досуговых мероприятий для молодежи)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215,0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2272" w:rsidRPr="007F26D7" w:rsidRDefault="0083227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272" w:rsidRPr="007F26D7" w:rsidRDefault="00832272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"Обеспечение безопасности населения", с объемом финансирования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24200,6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2272" w:rsidRPr="007F26D7" w:rsidRDefault="0083227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данной программы предусматривается финансирование мероприятий по </w:t>
      </w:r>
      <w:r w:rsidR="00F44C89" w:rsidRPr="007F26D7">
        <w:rPr>
          <w:rFonts w:ascii="Times New Roman" w:eastAsia="Times New Roman" w:hAnsi="Times New Roman" w:cs="Times New Roman"/>
          <w:sz w:val="28"/>
          <w:szCs w:val="28"/>
        </w:rPr>
        <w:t>следующим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расходов:</w:t>
      </w:r>
    </w:p>
    <w:p w:rsidR="00832272" w:rsidRPr="007F26D7" w:rsidRDefault="0083227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содержание 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МКУ АСО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в сумме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22004,2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том числе за счет средств из районного бюджета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9483,9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 xml:space="preserve"> (переданные полномочия)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 xml:space="preserve">, средства бюджета </w:t>
      </w:r>
      <w:proofErr w:type="spellStart"/>
      <w:r w:rsidR="00F55DE2">
        <w:rPr>
          <w:rFonts w:ascii="Times New Roman" w:eastAsia="Times New Roman" w:hAnsi="Times New Roman" w:cs="Times New Roman"/>
          <w:sz w:val="28"/>
          <w:szCs w:val="28"/>
        </w:rPr>
        <w:t>Хадыженского</w:t>
      </w:r>
      <w:proofErr w:type="spellEnd"/>
      <w:r w:rsidR="00F55DE2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1278,6 </w:t>
      </w:r>
      <w:proofErr w:type="spellStart"/>
      <w:r w:rsidR="00F55DE2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5A6C97" w:rsidRPr="007F26D7">
        <w:rPr>
          <w:rFonts w:ascii="Times New Roman" w:eastAsia="Times New Roman" w:hAnsi="Times New Roman" w:cs="Times New Roman"/>
          <w:sz w:val="28"/>
          <w:szCs w:val="28"/>
        </w:rPr>
        <w:t xml:space="preserve">. Штатная численность в данном учреждении составляет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32</w:t>
      </w:r>
      <w:r w:rsidR="005A6C97" w:rsidRPr="007F26D7">
        <w:rPr>
          <w:rFonts w:ascii="Times New Roman" w:eastAsia="Times New Roman" w:hAnsi="Times New Roman" w:cs="Times New Roman"/>
          <w:sz w:val="28"/>
          <w:szCs w:val="28"/>
        </w:rPr>
        <w:t xml:space="preserve"> штатных единиц, </w:t>
      </w:r>
    </w:p>
    <w:p w:rsidR="00832272" w:rsidRPr="007F26D7" w:rsidRDefault="0083227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D4530">
        <w:rPr>
          <w:rFonts w:ascii="Times New Roman" w:eastAsia="Times New Roman" w:hAnsi="Times New Roman" w:cs="Times New Roman"/>
          <w:sz w:val="28"/>
          <w:szCs w:val="28"/>
        </w:rPr>
        <w:t>5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0,0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32272" w:rsidRPr="007F26D7" w:rsidRDefault="0083227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пожарной </w:t>
      </w:r>
      <w:proofErr w:type="gramStart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 –</w:t>
      </w:r>
      <w:proofErr w:type="gramEnd"/>
      <w:r w:rsidR="00F55DE2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="005D453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0,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D19C4" w:rsidRPr="007F26D7" w:rsidRDefault="006D19C4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Подготовка населения и организаций к действиям в чрезвычайной ситуации в мирное и военное время (содержание систем экстренного оповещения) –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606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D19C4" w:rsidRPr="007F26D7" w:rsidRDefault="006D19C4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Мероприятия по профилактике терроризма и экстремизма –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600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D19C4" w:rsidRPr="007F26D7" w:rsidRDefault="006D19C4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Мероприятия по противодействию коррупции – </w:t>
      </w:r>
      <w:r w:rsidR="005D453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0,0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19C4" w:rsidRPr="007F26D7" w:rsidRDefault="006D19C4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19C4" w:rsidRPr="007F26D7" w:rsidRDefault="006D19C4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"Управление муниципальным имуществом", с объемом финансирования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500</w:t>
      </w:r>
      <w:r w:rsidR="00081D09" w:rsidRPr="007F26D7">
        <w:rPr>
          <w:rFonts w:ascii="Times New Roman" w:eastAsia="Times New Roman" w:hAnsi="Times New Roman" w:cs="Times New Roman"/>
          <w:sz w:val="28"/>
          <w:szCs w:val="28"/>
        </w:rPr>
        <w:t>,0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19C4" w:rsidRPr="007F26D7" w:rsidRDefault="006D19C4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 финансирование мероприятий по трем направлениям расходов:</w:t>
      </w:r>
    </w:p>
    <w:p w:rsidR="00B65030" w:rsidRPr="007F26D7" w:rsidRDefault="006D19C4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>Создание условий для эффективного управления и распоряжения муниципальным имуществом поселения в целях увеличения доходной части бюджета муниципального образования (рыночная оценка привати</w:t>
      </w:r>
      <w:r w:rsidR="005D4530">
        <w:rPr>
          <w:rFonts w:ascii="Times New Roman" w:eastAsia="Times New Roman" w:hAnsi="Times New Roman" w:cs="Times New Roman"/>
          <w:sz w:val="28"/>
          <w:szCs w:val="28"/>
        </w:rPr>
        <w:t>зируемого имущества, страхование</w:t>
      </w:r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 xml:space="preserve"> имущества, изготовление </w:t>
      </w:r>
      <w:proofErr w:type="spellStart"/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>тех.паспартов</w:t>
      </w:r>
      <w:proofErr w:type="spellEnd"/>
      <w:r w:rsidR="005D4530">
        <w:rPr>
          <w:rFonts w:ascii="Times New Roman" w:eastAsia="Times New Roman" w:hAnsi="Times New Roman" w:cs="Times New Roman"/>
          <w:sz w:val="28"/>
          <w:szCs w:val="28"/>
        </w:rPr>
        <w:t xml:space="preserve"> и подготовки документов для постановки на учет муниципального имущества</w:t>
      </w:r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сумме </w:t>
      </w:r>
      <w:proofErr w:type="gramStart"/>
      <w:r w:rsidR="00F55DE2">
        <w:rPr>
          <w:rFonts w:ascii="Times New Roman" w:eastAsia="Times New Roman" w:hAnsi="Times New Roman" w:cs="Times New Roman"/>
          <w:sz w:val="28"/>
          <w:szCs w:val="28"/>
        </w:rPr>
        <w:t>1000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gram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6D19C4" w:rsidRPr="007F26D7" w:rsidRDefault="006D19C4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>Мероприятия по межеванию и постановк</w:t>
      </w:r>
      <w:r w:rsidR="00081D09" w:rsidRPr="007F26D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 xml:space="preserve"> на кадастровый учет </w:t>
      </w:r>
      <w:proofErr w:type="gramStart"/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>земельных участков</w:t>
      </w:r>
      <w:proofErr w:type="gramEnd"/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 xml:space="preserve"> находящихся в муниципальной собственности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5</w:t>
      </w:r>
      <w:r w:rsidR="00DC44DD" w:rsidRPr="007F26D7">
        <w:rPr>
          <w:rFonts w:ascii="Times New Roman" w:eastAsia="Times New Roman" w:hAnsi="Times New Roman" w:cs="Times New Roman"/>
          <w:sz w:val="28"/>
          <w:szCs w:val="28"/>
        </w:rPr>
        <w:t>00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19C4" w:rsidRPr="007F26D7" w:rsidRDefault="006D19C4" w:rsidP="006D19C4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875" w:rsidRPr="007F26D7" w:rsidRDefault="00216875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</w:t>
      </w:r>
      <w:r w:rsidR="00C20764" w:rsidRPr="007F26D7">
        <w:rPr>
          <w:rFonts w:ascii="Times New Roman" w:eastAsia="Times New Roman" w:hAnsi="Times New Roman" w:cs="Times New Roman"/>
          <w:sz w:val="28"/>
          <w:szCs w:val="28"/>
        </w:rPr>
        <w:t>"Социальная поддержка граждан"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с объемом финансирования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 xml:space="preserve">8810,4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6875" w:rsidRPr="007F26D7" w:rsidRDefault="00216875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 финансирование мероприятий по трем направлениям расходов:</w:t>
      </w:r>
    </w:p>
    <w:p w:rsidR="00216875" w:rsidRPr="007F26D7" w:rsidRDefault="00216875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20764" w:rsidRPr="007F26D7">
        <w:rPr>
          <w:rFonts w:ascii="Times New Roman" w:eastAsia="Times New Roman" w:hAnsi="Times New Roman" w:cs="Times New Roman"/>
          <w:sz w:val="28"/>
          <w:szCs w:val="28"/>
        </w:rPr>
        <w:t>Предоставление социальных выплат молодым семьям на приобретение (строительство) жилья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сумме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6790,4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67CD4">
        <w:rPr>
          <w:rFonts w:ascii="Times New Roman" w:eastAsia="Times New Roman" w:hAnsi="Times New Roman" w:cs="Times New Roman"/>
          <w:sz w:val="28"/>
          <w:szCs w:val="28"/>
        </w:rPr>
        <w:t xml:space="preserve">в том числе средства краевого бюджета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67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4753,3</w:t>
      </w:r>
      <w:r w:rsidR="00667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67CD4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667CD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16875" w:rsidRPr="007F26D7" w:rsidRDefault="00216875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20764" w:rsidRPr="007F26D7">
        <w:rPr>
          <w:rFonts w:ascii="Times New Roman" w:eastAsia="Times New Roman" w:hAnsi="Times New Roman" w:cs="Times New Roman"/>
          <w:sz w:val="28"/>
          <w:szCs w:val="28"/>
        </w:rPr>
        <w:t>Оказание финансовой поддержки социально ориентированным некоммерческим организациям (общество инвалидов, общество ветеранов, общество инвалидов по зрению, и общество казаков)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70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16875" w:rsidRDefault="00216875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000AE" w:rsidRPr="007F26D7">
        <w:rPr>
          <w:rFonts w:ascii="Times New Roman" w:eastAsia="Times New Roman" w:hAnsi="Times New Roman" w:cs="Times New Roman"/>
          <w:sz w:val="28"/>
          <w:szCs w:val="28"/>
        </w:rPr>
        <w:t>Оказание социальной поддержки почетным гражданам поселения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>70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>,0</w:t>
      </w:r>
      <w:r w:rsidR="00F55D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5DE2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F55DE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55DE2" w:rsidRPr="007F26D7" w:rsidRDefault="00F55DE2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5DE2">
        <w:rPr>
          <w:rFonts w:ascii="Times New Roman" w:eastAsia="Times New Roman" w:hAnsi="Times New Roman" w:cs="Times New Roman"/>
          <w:sz w:val="28"/>
          <w:szCs w:val="28"/>
        </w:rPr>
        <w:t>Меры государственной поддержки лиц, замещавших муниципальные должности и должности муниципальной службы муниципального образования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 xml:space="preserve"> 150,0 </w:t>
      </w:r>
      <w:proofErr w:type="spellStart"/>
      <w:r w:rsidR="00D40053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D400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4439" w:rsidRPr="007F26D7" w:rsidRDefault="00324439" w:rsidP="00324439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3EDB" w:rsidRPr="007F26D7" w:rsidRDefault="00661730" w:rsidP="00433EDB">
      <w:pPr>
        <w:pStyle w:val="a8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Апшеро</w:t>
      </w:r>
      <w:r w:rsidR="00433EDB" w:rsidRPr="007F26D7">
        <w:rPr>
          <w:rFonts w:ascii="Times New Roman" w:eastAsia="Times New Roman" w:hAnsi="Times New Roman" w:cs="Times New Roman"/>
          <w:sz w:val="28"/>
          <w:szCs w:val="28"/>
        </w:rPr>
        <w:t xml:space="preserve">нского городского поселения </w:t>
      </w:r>
    </w:p>
    <w:p w:rsidR="00661730" w:rsidRPr="007F26D7" w:rsidRDefault="00433EDB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lastRenderedPageBreak/>
        <w:t>Апше</w:t>
      </w:r>
      <w:r w:rsidR="00661730" w:rsidRPr="007F26D7">
        <w:rPr>
          <w:rFonts w:ascii="Times New Roman" w:eastAsia="Times New Roman" w:hAnsi="Times New Roman" w:cs="Times New Roman"/>
          <w:sz w:val="28"/>
          <w:szCs w:val="28"/>
        </w:rPr>
        <w:t xml:space="preserve">ронского района "Развитие топливно-энергетического комплекса и жилищно-коммунального хозяйства", с объемом финансирования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73419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61730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661730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1730" w:rsidRPr="007F26D7" w:rsidRDefault="00661730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данной программы предусматривается финансирование мероприятий по </w:t>
      </w:r>
      <w:r w:rsidR="00F44C89" w:rsidRPr="007F26D7">
        <w:rPr>
          <w:rFonts w:ascii="Times New Roman" w:eastAsia="Times New Roman" w:hAnsi="Times New Roman" w:cs="Times New Roman"/>
          <w:sz w:val="28"/>
          <w:szCs w:val="28"/>
        </w:rPr>
        <w:t>следующим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расходов:</w:t>
      </w:r>
    </w:p>
    <w:p w:rsidR="006D455C" w:rsidRPr="007F26D7" w:rsidRDefault="006D455C" w:rsidP="00661730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- Обеспечение мероприятий в области жилищного хозяйства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 xml:space="preserve"> (содержание муниципального жилищного фонда) в сумме -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3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0,0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1730" w:rsidRPr="007F26D7" w:rsidRDefault="00661730" w:rsidP="00661730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C200A" w:rsidRPr="007F26D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</w:t>
      </w:r>
      <w:proofErr w:type="spellStart"/>
      <w:r w:rsidR="00CC200A" w:rsidRPr="007F26D7">
        <w:rPr>
          <w:rFonts w:ascii="Times New Roman" w:eastAsia="Times New Roman" w:hAnsi="Times New Roman" w:cs="Times New Roman"/>
          <w:sz w:val="28"/>
          <w:szCs w:val="28"/>
        </w:rPr>
        <w:t>тех.обслуживания</w:t>
      </w:r>
      <w:proofErr w:type="spellEnd"/>
      <w:r w:rsidR="00CC200A" w:rsidRPr="007F26D7">
        <w:rPr>
          <w:rFonts w:ascii="Times New Roman" w:eastAsia="Times New Roman" w:hAnsi="Times New Roman" w:cs="Times New Roman"/>
          <w:sz w:val="28"/>
          <w:szCs w:val="28"/>
        </w:rPr>
        <w:t xml:space="preserve"> и ремонта распределительных газопроводов на территории поселения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>, подготовка проектной документации по реконструкции газопроводов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1000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231D6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E231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455C" w:rsidRPr="007F26D7" w:rsidRDefault="00661730" w:rsidP="00A41F5D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540A1" w:rsidRPr="007F26D7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развитию водо-, тепло-, электроснабжения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600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0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41F5D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A41F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40A1" w:rsidRPr="007F26D7" w:rsidRDefault="002540A1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- Обеспечение содержания и функционирования уличного освещения в сумме (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эл.энергия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уличного освещения, текущее содержание уличного освещения) </w:t>
      </w:r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8000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Start"/>
      <w:r w:rsidR="00E231D6">
        <w:rPr>
          <w:rFonts w:ascii="Times New Roman" w:eastAsia="Times New Roman" w:hAnsi="Times New Roman" w:cs="Times New Roman"/>
          <w:sz w:val="28"/>
          <w:szCs w:val="28"/>
        </w:rPr>
        <w:t>0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40A1" w:rsidRPr="007F26D7" w:rsidRDefault="002540A1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622D" w:rsidRPr="007F26D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озеленения территории поселения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>3000,0</w:t>
      </w:r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40A1" w:rsidRDefault="002540A1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622D" w:rsidRPr="007F26D7">
        <w:rPr>
          <w:rFonts w:ascii="Times New Roman" w:eastAsia="Times New Roman" w:hAnsi="Times New Roman" w:cs="Times New Roman"/>
          <w:sz w:val="28"/>
          <w:szCs w:val="28"/>
        </w:rPr>
        <w:t>Обеспечение прочих мероприятий по благоустройству (уборка улиц, скверов, площадей, содержание кладбищ, вывоз ТБО, побелка деревьев, скашивание травы, коммунальные расходы по поставке и транспортировке газа на мемориал «Вечный огонь», отлов безнадзорных животных, приобретение и установка детских площадок, изготовление сметной документации</w:t>
      </w:r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, санитарная очистка</w:t>
      </w:r>
      <w:r w:rsidR="00D9622D" w:rsidRPr="007F26D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23254,0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40053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D400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40053" w:rsidRPr="007F26D7" w:rsidRDefault="00D40053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40053">
        <w:t xml:space="preserve"> </w:t>
      </w:r>
      <w:r w:rsidRPr="00D40053">
        <w:rPr>
          <w:rFonts w:ascii="Times New Roman" w:eastAsia="Times New Roman" w:hAnsi="Times New Roman" w:cs="Times New Roman"/>
          <w:sz w:val="28"/>
          <w:szCs w:val="28"/>
        </w:rPr>
        <w:t xml:space="preserve">Проведение мероприятий по </w:t>
      </w:r>
      <w:proofErr w:type="spellStart"/>
      <w:r w:rsidRPr="00D40053">
        <w:rPr>
          <w:rFonts w:ascii="Times New Roman" w:eastAsia="Times New Roman" w:hAnsi="Times New Roman" w:cs="Times New Roman"/>
          <w:sz w:val="28"/>
          <w:szCs w:val="28"/>
        </w:rPr>
        <w:t>обеспичению</w:t>
      </w:r>
      <w:proofErr w:type="spellEnd"/>
      <w:r w:rsidRPr="00D40053">
        <w:rPr>
          <w:rFonts w:ascii="Times New Roman" w:eastAsia="Times New Roman" w:hAnsi="Times New Roman" w:cs="Times New Roman"/>
          <w:sz w:val="28"/>
          <w:szCs w:val="28"/>
        </w:rPr>
        <w:t xml:space="preserve">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детей, а </w:t>
      </w:r>
      <w:proofErr w:type="gramStart"/>
      <w:r w:rsidRPr="00D40053">
        <w:rPr>
          <w:rFonts w:ascii="Times New Roman" w:eastAsia="Times New Roman" w:hAnsi="Times New Roman" w:cs="Times New Roman"/>
          <w:sz w:val="28"/>
          <w:szCs w:val="28"/>
        </w:rPr>
        <w:t>так же</w:t>
      </w:r>
      <w:proofErr w:type="gramEnd"/>
      <w:r w:rsidRPr="00D40053">
        <w:rPr>
          <w:rFonts w:ascii="Times New Roman" w:eastAsia="Times New Roman" w:hAnsi="Times New Roman" w:cs="Times New Roman"/>
          <w:sz w:val="28"/>
          <w:szCs w:val="28"/>
        </w:rPr>
        <w:t xml:space="preserve"> под стандартное жилье и жилье из </w:t>
      </w:r>
      <w:proofErr w:type="spellStart"/>
      <w:r w:rsidRPr="00D40053">
        <w:rPr>
          <w:rFonts w:ascii="Times New Roman" w:eastAsia="Times New Roman" w:hAnsi="Times New Roman" w:cs="Times New Roman"/>
          <w:sz w:val="28"/>
          <w:szCs w:val="28"/>
        </w:rPr>
        <w:t>быстовозводимых</w:t>
      </w:r>
      <w:proofErr w:type="spellEnd"/>
      <w:r w:rsidRPr="00D40053">
        <w:rPr>
          <w:rFonts w:ascii="Times New Roman" w:eastAsia="Times New Roman" w:hAnsi="Times New Roman" w:cs="Times New Roman"/>
          <w:sz w:val="28"/>
          <w:szCs w:val="28"/>
        </w:rPr>
        <w:t xml:space="preserve"> конструкций (по земельным участкам, находящимся в муниципальной собственности)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890,0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40053" w:rsidRDefault="00ED2E53" w:rsidP="00D4005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содержание МКУ ЖКС, в сумме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34375,8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1951" w:rsidRPr="007F26D7">
        <w:rPr>
          <w:rFonts w:ascii="Times New Roman" w:eastAsia="Times New Roman" w:hAnsi="Times New Roman" w:cs="Times New Roman"/>
          <w:sz w:val="28"/>
          <w:szCs w:val="28"/>
        </w:rPr>
        <w:t>В рамках расходов на содержание включены затраты на ФОТ, коммунальные</w:t>
      </w:r>
      <w:r w:rsidR="00E231D6">
        <w:rPr>
          <w:rFonts w:ascii="Times New Roman" w:eastAsia="Times New Roman" w:hAnsi="Times New Roman" w:cs="Times New Roman"/>
          <w:sz w:val="28"/>
          <w:szCs w:val="28"/>
        </w:rPr>
        <w:t xml:space="preserve"> расходы, содержание имущества.</w:t>
      </w:r>
      <w:r w:rsidR="00D40053" w:rsidRPr="00D400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0053" w:rsidRPr="007F26D7">
        <w:rPr>
          <w:rFonts w:ascii="Times New Roman" w:eastAsia="Times New Roman" w:hAnsi="Times New Roman" w:cs="Times New Roman"/>
          <w:sz w:val="28"/>
          <w:szCs w:val="28"/>
        </w:rPr>
        <w:t xml:space="preserve">Общая штатная численность в данных учреждениях составляет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50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5</w:t>
      </w:r>
      <w:r w:rsidR="00D40053" w:rsidRPr="007F26D7">
        <w:rPr>
          <w:rFonts w:ascii="Times New Roman" w:eastAsia="Times New Roman" w:hAnsi="Times New Roman" w:cs="Times New Roman"/>
          <w:sz w:val="28"/>
          <w:szCs w:val="28"/>
        </w:rPr>
        <w:t xml:space="preserve"> штатных единиц.</w:t>
      </w:r>
    </w:p>
    <w:p w:rsidR="00D40053" w:rsidRPr="007F26D7" w:rsidRDefault="00D40053" w:rsidP="00D4005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B76" w:rsidRPr="007F26D7" w:rsidRDefault="00AA5B76" w:rsidP="007E4C63">
      <w:pPr>
        <w:pStyle w:val="a8"/>
        <w:numPr>
          <w:ilvl w:val="0"/>
          <w:numId w:val="6"/>
        </w:numPr>
        <w:ind w:left="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"Экономическое развитие муниципального образования", с объемом финансирования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6471,9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5B76" w:rsidRPr="007F26D7" w:rsidRDefault="00AA5B76" w:rsidP="007E4C63">
      <w:pPr>
        <w:pStyle w:val="a8"/>
        <w:ind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 финансирование мероприятий по трем направлениям расходов:</w:t>
      </w:r>
    </w:p>
    <w:p w:rsidR="00AA5B76" w:rsidRPr="007F26D7" w:rsidRDefault="00AA5B76" w:rsidP="007E4C63">
      <w:pPr>
        <w:pStyle w:val="a8"/>
        <w:ind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Развитие малого и среднего предпринимательства в муниципальном </w:t>
      </w:r>
      <w:proofErr w:type="gramStart"/>
      <w:r w:rsidRPr="007F26D7">
        <w:rPr>
          <w:rFonts w:ascii="Times New Roman" w:eastAsia="Times New Roman" w:hAnsi="Times New Roman" w:cs="Times New Roman"/>
          <w:sz w:val="28"/>
          <w:szCs w:val="28"/>
        </w:rPr>
        <w:t>образовании  (</w:t>
      </w:r>
      <w:proofErr w:type="gram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проведение семинаров) сумме </w:t>
      </w:r>
      <w:r w:rsidR="006F0B2A">
        <w:rPr>
          <w:rFonts w:ascii="Times New Roman" w:eastAsia="Times New Roman" w:hAnsi="Times New Roman" w:cs="Times New Roman"/>
          <w:sz w:val="28"/>
          <w:szCs w:val="28"/>
        </w:rPr>
        <w:t>70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AA5B76" w:rsidRPr="007F26D7" w:rsidRDefault="00AA5B76" w:rsidP="007E4C63">
      <w:pPr>
        <w:pStyle w:val="a8"/>
        <w:ind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Мероприятия по межеванию и постановки на кадастровый учет земельных участков собственность на которые не разграничена (подготовка земельных участков для многодетных семей) – </w:t>
      </w:r>
      <w:r w:rsidR="006F0B2A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200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A5B76" w:rsidRDefault="00AA5B76" w:rsidP="007E4C63">
      <w:pPr>
        <w:pStyle w:val="a8"/>
        <w:ind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мероприятий в области строительства, архитектуры и градостроительства (изменения в генпланы </w:t>
      </w:r>
      <w:proofErr w:type="gramStart"/>
      <w:r w:rsidRPr="007F26D7">
        <w:rPr>
          <w:rFonts w:ascii="Times New Roman" w:eastAsia="Times New Roman" w:hAnsi="Times New Roman" w:cs="Times New Roman"/>
          <w:sz w:val="28"/>
          <w:szCs w:val="28"/>
        </w:rPr>
        <w:t>города)–</w:t>
      </w:r>
      <w:proofErr w:type="gram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120</w:t>
      </w:r>
      <w:r w:rsidR="005D7B51" w:rsidRPr="007F26D7">
        <w:rPr>
          <w:rFonts w:ascii="Times New Roman" w:eastAsia="Times New Roman" w:hAnsi="Times New Roman" w:cs="Times New Roman"/>
          <w:sz w:val="28"/>
          <w:szCs w:val="28"/>
        </w:rPr>
        <w:t>0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="00D40053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D400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40053" w:rsidRPr="007F26D7" w:rsidRDefault="00D40053" w:rsidP="007E4C63">
      <w:pPr>
        <w:pStyle w:val="a8"/>
        <w:ind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40053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по подготовке изменений в правила землепользования и застройки муниципальных образований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4001,9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7A94" w:rsidRPr="007F26D7" w:rsidRDefault="000C7A94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3381" w:rsidRPr="007F26D7" w:rsidRDefault="00113381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Апшеронского городского поселения Апшеронского района "Организация муниципального управления"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с объемом финансирования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34294,6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за счет средств краевого бюджета 12,4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(осуществление отдельных государственных полномочий по образованию и организации деятельности административных комиссий).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 финансирование меро</w:t>
      </w:r>
      <w:r w:rsidR="00F44C89" w:rsidRPr="007F26D7">
        <w:rPr>
          <w:rFonts w:ascii="Times New Roman" w:eastAsia="Times New Roman" w:hAnsi="Times New Roman" w:cs="Times New Roman"/>
          <w:sz w:val="28"/>
          <w:szCs w:val="28"/>
        </w:rPr>
        <w:t>приятий по следующим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расходов: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Обеспечение деятельности высшего должностного лица муниципального образования, в сумме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2238,9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67CD4">
        <w:rPr>
          <w:rFonts w:ascii="Times New Roman" w:eastAsia="Times New Roman" w:hAnsi="Times New Roman" w:cs="Times New Roman"/>
          <w:sz w:val="28"/>
          <w:szCs w:val="28"/>
        </w:rPr>
        <w:t>одна штатная единица;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40040" w:rsidRPr="007F26D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деятельности администрации муниципального образования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24737,1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540040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6547F" w:rsidRPr="007F26D7">
        <w:rPr>
          <w:rFonts w:ascii="Times New Roman" w:eastAsia="Times New Roman" w:hAnsi="Times New Roman" w:cs="Times New Roman"/>
          <w:sz w:val="28"/>
          <w:szCs w:val="28"/>
        </w:rPr>
        <w:t xml:space="preserve"> Штатная численность </w:t>
      </w:r>
      <w:r w:rsidR="00667CD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поселения </w:t>
      </w:r>
      <w:r w:rsidR="0036547F" w:rsidRPr="007F26D7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1</w:t>
      </w:r>
      <w:r w:rsidR="0036547F" w:rsidRPr="007F26D7">
        <w:rPr>
          <w:rFonts w:ascii="Times New Roman" w:eastAsia="Times New Roman" w:hAnsi="Times New Roman" w:cs="Times New Roman"/>
          <w:sz w:val="28"/>
          <w:szCs w:val="28"/>
        </w:rPr>
        <w:t xml:space="preserve"> штатных единиц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67CD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Осуществление отдельных государственных полномочий по образованию и организации деятельности административных комиссий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4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краевого бюджета 12,4 </w:t>
      </w:r>
      <w:proofErr w:type="spellStart"/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 xml:space="preserve"> (осуществление отдельных государственных полномочий по образованию и организации деятельности административных комиссий),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информатизации администрации муниципального образования, ее отраслевых (функциональных) </w:t>
      </w:r>
      <w:proofErr w:type="gramStart"/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органов(</w:t>
      </w:r>
      <w:proofErr w:type="gramEnd"/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обслуживание оргтехники, программного обеспечения, справочных систем, услуги связи, замена морально устаревшего оборудования)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13</w:t>
      </w:r>
      <w:r w:rsidR="00667CD4">
        <w:rPr>
          <w:rFonts w:ascii="Times New Roman" w:eastAsia="Times New Roman" w:hAnsi="Times New Roman" w:cs="Times New Roman"/>
          <w:sz w:val="28"/>
          <w:szCs w:val="28"/>
        </w:rPr>
        <w:t>85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A4800" w:rsidRPr="007F26D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информационной открытости и доступности информации о деятельности органов местного </w:t>
      </w:r>
      <w:proofErr w:type="gramStart"/>
      <w:r w:rsidR="001A4800" w:rsidRPr="007F26D7">
        <w:rPr>
          <w:rFonts w:ascii="Times New Roman" w:eastAsia="Times New Roman" w:hAnsi="Times New Roman" w:cs="Times New Roman"/>
          <w:sz w:val="28"/>
          <w:szCs w:val="28"/>
        </w:rPr>
        <w:t>самоуправления(</w:t>
      </w:r>
      <w:proofErr w:type="gramEnd"/>
      <w:r w:rsidR="001A4800" w:rsidRPr="007F26D7">
        <w:rPr>
          <w:rFonts w:ascii="Times New Roman" w:eastAsia="Times New Roman" w:hAnsi="Times New Roman" w:cs="Times New Roman"/>
          <w:sz w:val="28"/>
          <w:szCs w:val="28"/>
        </w:rPr>
        <w:t>публикация объявлений, нормативно-правовых актов)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667CD4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345C4E" w:rsidRPr="007F26D7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345C4E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345C4E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45C4E" w:rsidRPr="007F26D7" w:rsidRDefault="00345C4E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- Материаль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но-техническое обеспечение 2417,2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F2B4F" w:rsidRPr="007F26D7" w:rsidRDefault="00345C4E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Содействие развитию органов территориального общественного самоуправления, поощрение победителей краевых конкурсов –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1114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64845" w:rsidRPr="007F26D7" w:rsidRDefault="00345C4E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26D7">
        <w:rPr>
          <w:rFonts w:ascii="Times New Roman" w:hAnsi="Times New Roman" w:cs="Times New Roman"/>
          <w:sz w:val="28"/>
          <w:szCs w:val="28"/>
        </w:rPr>
        <w:t xml:space="preserve">Процентные платежи по муниципальному долгу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1</w:t>
      </w:r>
      <w:r w:rsidR="00667CD4">
        <w:rPr>
          <w:rFonts w:ascii="Times New Roman" w:eastAsia="Times New Roman" w:hAnsi="Times New Roman" w:cs="Times New Roman"/>
          <w:sz w:val="28"/>
          <w:szCs w:val="28"/>
        </w:rPr>
        <w:t>00,0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5C4E" w:rsidRPr="007F26D7" w:rsidRDefault="00345C4E" w:rsidP="00345C4E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0412" w:rsidRPr="007F26D7" w:rsidRDefault="00F90412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</w:t>
      </w:r>
      <w:r w:rsidR="00083D56" w:rsidRPr="007F26D7">
        <w:rPr>
          <w:rFonts w:ascii="Times New Roman" w:eastAsia="Times New Roman" w:hAnsi="Times New Roman" w:cs="Times New Roman"/>
          <w:sz w:val="28"/>
          <w:szCs w:val="28"/>
        </w:rPr>
        <w:t>"Комплексное и устойчивое развитие поселения в сфере строительства и дорожного хозяйства"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с объемом финансирования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24517,6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34914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A41F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0412" w:rsidRPr="007F26D7" w:rsidRDefault="00F90412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данной программы предусматривается финансирование мероприятий по </w:t>
      </w:r>
      <w:r w:rsidR="00083D56" w:rsidRPr="007F26D7">
        <w:rPr>
          <w:rFonts w:ascii="Times New Roman" w:eastAsia="Times New Roman" w:hAnsi="Times New Roman" w:cs="Times New Roman"/>
          <w:sz w:val="28"/>
          <w:szCs w:val="28"/>
        </w:rPr>
        <w:t xml:space="preserve">следующим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направлениям расходов:</w:t>
      </w:r>
    </w:p>
    <w:p w:rsidR="00F90412" w:rsidRPr="007F26D7" w:rsidRDefault="00F90412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Содержание автомобильных дорог общего пользования местного значения (нанесение дорожной разметки, уборка снега, распределение </w:t>
      </w:r>
      <w:proofErr w:type="spellStart"/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>отиво</w:t>
      </w:r>
      <w:proofErr w:type="spellEnd"/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-гололедных материалов, </w:t>
      </w:r>
      <w:proofErr w:type="spellStart"/>
      <w:r w:rsidR="001E36AF">
        <w:rPr>
          <w:rFonts w:ascii="Times New Roman" w:eastAsia="Times New Roman" w:hAnsi="Times New Roman" w:cs="Times New Roman"/>
          <w:sz w:val="28"/>
          <w:szCs w:val="28"/>
        </w:rPr>
        <w:t>грейдирование</w:t>
      </w:r>
      <w:proofErr w:type="spellEnd"/>
      <w:r w:rsidR="002E189C" w:rsidRPr="007F26D7">
        <w:rPr>
          <w:rFonts w:ascii="Times New Roman" w:eastAsia="Times New Roman" w:hAnsi="Times New Roman" w:cs="Times New Roman"/>
          <w:sz w:val="28"/>
          <w:szCs w:val="28"/>
        </w:rPr>
        <w:t xml:space="preserve"> и подсыпка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89C" w:rsidRPr="007F26D7">
        <w:rPr>
          <w:rFonts w:ascii="Times New Roman" w:eastAsia="Times New Roman" w:hAnsi="Times New Roman" w:cs="Times New Roman"/>
          <w:sz w:val="28"/>
          <w:szCs w:val="28"/>
        </w:rPr>
        <w:t>дорог с щебеночным по</w:t>
      </w:r>
      <w:r w:rsidR="002E189C" w:rsidRPr="007F26D7">
        <w:rPr>
          <w:rFonts w:ascii="Times New Roman" w:eastAsia="Times New Roman" w:hAnsi="Times New Roman" w:cs="Times New Roman"/>
          <w:sz w:val="28"/>
          <w:szCs w:val="28"/>
        </w:rPr>
        <w:lastRenderedPageBreak/>
        <w:t>крытием, выравнивание обочин дорог</w:t>
      </w:r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>, ямочный ремонт, ремонт ливневых канализаций, текущее содержание и реконструкция светофор</w:t>
      </w:r>
      <w:r w:rsidR="002E189C" w:rsidRPr="007F26D7">
        <w:rPr>
          <w:rFonts w:ascii="Times New Roman" w:eastAsia="Times New Roman" w:hAnsi="Times New Roman" w:cs="Times New Roman"/>
          <w:sz w:val="28"/>
          <w:szCs w:val="28"/>
        </w:rPr>
        <w:t>ных объектов</w:t>
      </w:r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>эл.энергия</w:t>
      </w:r>
      <w:proofErr w:type="spellEnd"/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 светофоров, замена поврежденных дорожных люков, изготовление схем дорожного движения) - 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21317,6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34914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934914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6D3A" w:rsidRPr="007F26D7" w:rsidRDefault="00F9041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>Капитальный ремонт и ремонт автомобильных дорог общего пользования местного значения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бюджета, </w:t>
      </w:r>
      <w:r w:rsidR="0093491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>кап</w:t>
      </w:r>
      <w:r w:rsidR="0093491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>ремонт</w:t>
      </w:r>
      <w:r w:rsidR="00934914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 улицы 9 </w:t>
      </w:r>
      <w:proofErr w:type="gramStart"/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="00934914">
        <w:rPr>
          <w:rFonts w:ascii="Times New Roman" w:eastAsia="Times New Roman" w:hAnsi="Times New Roman" w:cs="Times New Roman"/>
          <w:sz w:val="28"/>
          <w:szCs w:val="28"/>
        </w:rPr>
        <w:t>,  подготовка</w:t>
      </w:r>
      <w:proofErr w:type="gramEnd"/>
      <w:r w:rsidR="009349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34914">
        <w:rPr>
          <w:rFonts w:ascii="Times New Roman" w:eastAsia="Times New Roman" w:hAnsi="Times New Roman" w:cs="Times New Roman"/>
          <w:sz w:val="28"/>
          <w:szCs w:val="28"/>
        </w:rPr>
        <w:t>проектно</w:t>
      </w:r>
      <w:proofErr w:type="spellEnd"/>
      <w:r w:rsidR="00934914">
        <w:rPr>
          <w:rFonts w:ascii="Times New Roman" w:eastAsia="Times New Roman" w:hAnsi="Times New Roman" w:cs="Times New Roman"/>
          <w:sz w:val="28"/>
          <w:szCs w:val="28"/>
        </w:rPr>
        <w:t xml:space="preserve"> сметной документации, устройство остановочных павильонов, устройство тротуаров</w:t>
      </w:r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3000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,0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1A06AD" w:rsidRPr="007F26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0412" w:rsidRPr="007F26D7" w:rsidRDefault="00F9041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190A" w:rsidRPr="007F26D7">
        <w:rPr>
          <w:rFonts w:ascii="Times New Roman" w:eastAsia="Times New Roman" w:hAnsi="Times New Roman" w:cs="Times New Roman"/>
          <w:sz w:val="28"/>
          <w:szCs w:val="28"/>
        </w:rPr>
        <w:t>Создание условий для формирования доступной среды жизнедеятельности инвалидов и других маломобильных групп населения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190A" w:rsidRPr="007F26D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E9190A" w:rsidRPr="007F26D7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E9190A" w:rsidRPr="007F26D7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 по устройству остановочных павильонов специальными средствами)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34914">
        <w:rPr>
          <w:rFonts w:ascii="Times New Roman" w:eastAsia="Times New Roman" w:hAnsi="Times New Roman" w:cs="Times New Roman"/>
          <w:sz w:val="28"/>
          <w:szCs w:val="28"/>
        </w:rPr>
        <w:t>0</w:t>
      </w:r>
      <w:r w:rsidR="00A7663E" w:rsidRPr="007F26D7">
        <w:rPr>
          <w:rFonts w:ascii="Times New Roman" w:eastAsia="Times New Roman" w:hAnsi="Times New Roman" w:cs="Times New Roman"/>
          <w:sz w:val="28"/>
          <w:szCs w:val="28"/>
        </w:rPr>
        <w:t>,0</w:t>
      </w:r>
      <w:r w:rsidR="009349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D4E86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7D4E86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4E86" w:rsidRPr="007F26D7" w:rsidRDefault="007D4E86" w:rsidP="00E9190A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E86" w:rsidRPr="007F26D7" w:rsidRDefault="007D4E86" w:rsidP="007E4C63">
      <w:pPr>
        <w:pStyle w:val="a8"/>
        <w:numPr>
          <w:ilvl w:val="0"/>
          <w:numId w:val="6"/>
        </w:numPr>
        <w:ind w:left="0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</w:t>
      </w:r>
      <w:r w:rsidR="0036603F" w:rsidRPr="007F26D7">
        <w:rPr>
          <w:rFonts w:ascii="Times New Roman" w:eastAsia="Times New Roman" w:hAnsi="Times New Roman" w:cs="Times New Roman"/>
          <w:sz w:val="28"/>
          <w:szCs w:val="28"/>
        </w:rPr>
        <w:t>"Формирование современной городской среды"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с объемом финансирования </w:t>
      </w:r>
      <w:r w:rsidR="00D40053">
        <w:rPr>
          <w:rFonts w:ascii="Times New Roman" w:eastAsia="Times New Roman" w:hAnsi="Times New Roman" w:cs="Times New Roman"/>
          <w:sz w:val="28"/>
          <w:szCs w:val="28"/>
        </w:rPr>
        <w:t>50000,0</w:t>
      </w:r>
      <w:r w:rsidR="009349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26FDB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426FDB">
        <w:rPr>
          <w:rFonts w:ascii="Times New Roman" w:eastAsia="Times New Roman" w:hAnsi="Times New Roman" w:cs="Times New Roman"/>
          <w:sz w:val="28"/>
          <w:szCs w:val="28"/>
        </w:rPr>
        <w:t xml:space="preserve">, в том числе средства краевого бюджета </w:t>
      </w:r>
      <w:r w:rsidR="00D9233C">
        <w:rPr>
          <w:rFonts w:ascii="Times New Roman" w:eastAsia="Times New Roman" w:hAnsi="Times New Roman" w:cs="Times New Roman"/>
          <w:sz w:val="28"/>
          <w:szCs w:val="28"/>
        </w:rPr>
        <w:t xml:space="preserve">43200,0 </w:t>
      </w:r>
      <w:proofErr w:type="spellStart"/>
      <w:r w:rsidR="00426FDB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426F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4E86" w:rsidRPr="007F26D7" w:rsidRDefault="007D4E86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данной программы предусматривается финансирование мероприятий по следующим 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>направлениям расходов (</w:t>
      </w:r>
      <w:proofErr w:type="spellStart"/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бюджета:</w:t>
      </w:r>
    </w:p>
    <w:p w:rsidR="00A7663E" w:rsidRPr="007F26D7" w:rsidRDefault="00A7663E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26FDB">
        <w:rPr>
          <w:rFonts w:ascii="Times New Roman" w:eastAsia="Times New Roman" w:hAnsi="Times New Roman" w:cs="Times New Roman"/>
          <w:sz w:val="28"/>
          <w:szCs w:val="28"/>
        </w:rPr>
        <w:t>Проведение работ по благоустройству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FDB">
        <w:rPr>
          <w:rFonts w:ascii="Times New Roman" w:eastAsia="Times New Roman" w:hAnsi="Times New Roman" w:cs="Times New Roman"/>
          <w:sz w:val="28"/>
          <w:szCs w:val="28"/>
        </w:rPr>
        <w:t xml:space="preserve">общественных 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>территорий</w:t>
      </w:r>
      <w:r w:rsidR="00F8612B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gramStart"/>
      <w:r w:rsidR="00F8612B">
        <w:rPr>
          <w:rFonts w:ascii="Times New Roman" w:eastAsia="Times New Roman" w:hAnsi="Times New Roman" w:cs="Times New Roman"/>
          <w:sz w:val="28"/>
          <w:szCs w:val="28"/>
        </w:rPr>
        <w:t>4</w:t>
      </w:r>
      <w:r w:rsidR="00D9233C">
        <w:rPr>
          <w:rFonts w:ascii="Times New Roman" w:eastAsia="Times New Roman" w:hAnsi="Times New Roman" w:cs="Times New Roman"/>
          <w:sz w:val="28"/>
          <w:szCs w:val="28"/>
        </w:rPr>
        <w:t>8000</w:t>
      </w:r>
      <w:r w:rsidR="00F8612B">
        <w:rPr>
          <w:rFonts w:ascii="Times New Roman" w:eastAsia="Times New Roman" w:hAnsi="Times New Roman" w:cs="Times New Roman"/>
          <w:sz w:val="28"/>
          <w:szCs w:val="28"/>
        </w:rPr>
        <w:t>,</w:t>
      </w:r>
      <w:r w:rsidR="00D9233C">
        <w:rPr>
          <w:rFonts w:ascii="Times New Roman" w:eastAsia="Times New Roman" w:hAnsi="Times New Roman" w:cs="Times New Roman"/>
          <w:sz w:val="28"/>
          <w:szCs w:val="28"/>
        </w:rPr>
        <w:t>0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>тыс.руб.</w:t>
      </w:r>
      <w:proofErr w:type="gramEnd"/>
    </w:p>
    <w:p w:rsidR="004C38A8" w:rsidRPr="007F26D7" w:rsidRDefault="004C38A8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Так же в рамках данной программы предусмотрены средства для изготовления дизайн проектов благоустройства общественных и дворовых территорий</w:t>
      </w:r>
      <w:r w:rsidR="00426FDB">
        <w:rPr>
          <w:rFonts w:ascii="Times New Roman" w:eastAsia="Times New Roman" w:hAnsi="Times New Roman" w:cs="Times New Roman"/>
          <w:sz w:val="28"/>
          <w:szCs w:val="28"/>
        </w:rPr>
        <w:t xml:space="preserve">, проведение строительно-технического надзора, и выполнение работ по благоустройству общественных территорий без условий </w:t>
      </w:r>
      <w:proofErr w:type="spellStart"/>
      <w:r w:rsidR="00426FDB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D9233C">
        <w:rPr>
          <w:rFonts w:ascii="Times New Roman" w:eastAsia="Times New Roman" w:hAnsi="Times New Roman" w:cs="Times New Roman"/>
          <w:sz w:val="28"/>
          <w:szCs w:val="28"/>
        </w:rPr>
        <w:t>2000</w:t>
      </w:r>
      <w:r w:rsidR="00F8612B">
        <w:rPr>
          <w:rFonts w:ascii="Times New Roman" w:eastAsia="Times New Roman" w:hAnsi="Times New Roman" w:cs="Times New Roman"/>
          <w:sz w:val="28"/>
          <w:szCs w:val="28"/>
        </w:rPr>
        <w:t>,</w:t>
      </w:r>
      <w:r w:rsidR="00D9233C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DF2" w:rsidRPr="007F26D7" w:rsidRDefault="00983DF2" w:rsidP="007D4E86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5C4E" w:rsidRPr="007F26D7" w:rsidRDefault="00345C4E" w:rsidP="003A1FE2">
      <w:pPr>
        <w:pStyle w:val="a8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D3139" w:rsidRPr="007F26D7" w:rsidRDefault="00DD3139" w:rsidP="00252C71">
      <w:pPr>
        <w:pStyle w:val="a8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6D7">
        <w:rPr>
          <w:rFonts w:ascii="Times New Roman" w:hAnsi="Times New Roman" w:cs="Times New Roman"/>
          <w:b/>
          <w:sz w:val="28"/>
          <w:szCs w:val="28"/>
        </w:rPr>
        <w:t>Структура расходов бюджета поселения</w:t>
      </w:r>
    </w:p>
    <w:p w:rsidR="00DD3139" w:rsidRPr="007F26D7" w:rsidRDefault="00DD3139" w:rsidP="00DD3139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139" w:rsidRPr="007F26D7" w:rsidRDefault="00DD3139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Структура расходов бюджета поселения в разрезе разделов функциональной классификации расходов бюджетов бюджетной системы Российской Федерации</w:t>
      </w:r>
      <w:r w:rsidR="00252C71">
        <w:rPr>
          <w:rFonts w:ascii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hAnsi="Times New Roman" w:cs="Times New Roman"/>
          <w:sz w:val="28"/>
          <w:szCs w:val="28"/>
        </w:rPr>
        <w:t>представлена в следующем виде:</w:t>
      </w:r>
    </w:p>
    <w:p w:rsidR="00E034F5" w:rsidRPr="007F26D7" w:rsidRDefault="00E034F5" w:rsidP="00D5212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212A" w:rsidRPr="007F26D7" w:rsidRDefault="00D5212A" w:rsidP="00D5212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Анализируя структуру расходов на </w:t>
      </w:r>
      <w:r w:rsidR="004A7590" w:rsidRPr="007F26D7">
        <w:rPr>
          <w:rFonts w:ascii="Times New Roman" w:hAnsi="Times New Roman" w:cs="Times New Roman"/>
          <w:sz w:val="28"/>
          <w:szCs w:val="28"/>
        </w:rPr>
        <w:t>20</w:t>
      </w:r>
      <w:r w:rsidR="004C38A8" w:rsidRPr="007F26D7">
        <w:rPr>
          <w:rFonts w:ascii="Times New Roman" w:hAnsi="Times New Roman" w:cs="Times New Roman"/>
          <w:sz w:val="28"/>
          <w:szCs w:val="28"/>
        </w:rPr>
        <w:t>2</w:t>
      </w:r>
      <w:r w:rsidR="00D9233C">
        <w:rPr>
          <w:rFonts w:ascii="Times New Roman" w:hAnsi="Times New Roman" w:cs="Times New Roman"/>
          <w:sz w:val="28"/>
          <w:szCs w:val="28"/>
        </w:rPr>
        <w:t>4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год, можно говорить о </w:t>
      </w:r>
      <w:r w:rsidR="003C2804">
        <w:rPr>
          <w:rFonts w:ascii="Times New Roman" w:hAnsi="Times New Roman" w:cs="Times New Roman"/>
          <w:sz w:val="28"/>
          <w:szCs w:val="28"/>
        </w:rPr>
        <w:t>пяти</w:t>
      </w:r>
      <w:r w:rsidRPr="007F26D7">
        <w:rPr>
          <w:rFonts w:ascii="Times New Roman" w:hAnsi="Times New Roman" w:cs="Times New Roman"/>
          <w:sz w:val="28"/>
          <w:szCs w:val="28"/>
        </w:rPr>
        <w:t xml:space="preserve"> приоритетных направлениях:</w:t>
      </w:r>
    </w:p>
    <w:p w:rsidR="00D5212A" w:rsidRPr="007F26D7" w:rsidRDefault="00D5212A" w:rsidP="00D5212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</w:p>
    <w:p w:rsidR="003C2804" w:rsidRDefault="003C30CF" w:rsidP="003C2804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Культура</w:t>
      </w:r>
      <w:r w:rsidR="003C2804" w:rsidRPr="003C2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2A" w:rsidRPr="003C2804" w:rsidRDefault="003C2804" w:rsidP="00934914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2804">
        <w:rPr>
          <w:rFonts w:ascii="Times New Roman" w:hAnsi="Times New Roman" w:cs="Times New Roman"/>
          <w:sz w:val="28"/>
          <w:szCs w:val="28"/>
        </w:rPr>
        <w:t>Национальная экономика (Дорожные фонды)</w:t>
      </w:r>
    </w:p>
    <w:p w:rsidR="00D5212A" w:rsidRDefault="00D5212A" w:rsidP="00D5212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Общегосударственные вопросы </w:t>
      </w:r>
    </w:p>
    <w:p w:rsidR="003C2804" w:rsidRPr="007F26D7" w:rsidRDefault="003C2804" w:rsidP="00D5212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политика</w:t>
      </w:r>
    </w:p>
    <w:p w:rsidR="00616C0F" w:rsidRDefault="00616C0F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3139" w:rsidRPr="00DD3139" w:rsidRDefault="00DD3139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486400" cy="68484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2FC7" w:rsidRDefault="00012FC7" w:rsidP="00DD313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955E8" w:rsidRDefault="00B955E8" w:rsidP="00B955E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55E8" w:rsidRDefault="00B955E8" w:rsidP="00B955E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C6BE3" w:rsidRDefault="003C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45381" w:rsidRPr="007F26D7" w:rsidRDefault="00245381" w:rsidP="007A4C88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Источники внутреннего финансирования дефицита бюджета поселения на </w:t>
      </w:r>
      <w:r w:rsidR="004E02ED" w:rsidRPr="007F26D7">
        <w:rPr>
          <w:rFonts w:ascii="Times New Roman" w:hAnsi="Times New Roman" w:cs="Times New Roman"/>
          <w:b/>
          <w:sz w:val="28"/>
          <w:szCs w:val="28"/>
        </w:rPr>
        <w:t>202</w:t>
      </w:r>
      <w:r w:rsidR="008923B0">
        <w:rPr>
          <w:rFonts w:ascii="Times New Roman" w:hAnsi="Times New Roman" w:cs="Times New Roman"/>
          <w:b/>
          <w:sz w:val="28"/>
          <w:szCs w:val="28"/>
        </w:rPr>
        <w:t>4</w:t>
      </w:r>
      <w:r w:rsidRPr="007F26D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E4C63" w:rsidRPr="007F26D7" w:rsidRDefault="00245381" w:rsidP="0024538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В соответствии с программой муниципальных заимствований Апшеронского городского поселения Апшеронского района на </w:t>
      </w:r>
      <w:r w:rsidR="004E02ED" w:rsidRPr="007F26D7">
        <w:rPr>
          <w:rFonts w:ascii="Times New Roman" w:hAnsi="Times New Roman" w:cs="Times New Roman"/>
          <w:sz w:val="28"/>
          <w:szCs w:val="28"/>
        </w:rPr>
        <w:t>202</w:t>
      </w:r>
      <w:r w:rsidR="008923B0">
        <w:rPr>
          <w:rFonts w:ascii="Times New Roman" w:hAnsi="Times New Roman" w:cs="Times New Roman"/>
          <w:sz w:val="28"/>
          <w:szCs w:val="28"/>
        </w:rPr>
        <w:t>4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год, </w:t>
      </w:r>
      <w:r w:rsidR="000F5B9D" w:rsidRPr="007F26D7">
        <w:rPr>
          <w:rFonts w:ascii="Times New Roman" w:hAnsi="Times New Roman" w:cs="Times New Roman"/>
          <w:sz w:val="28"/>
          <w:szCs w:val="28"/>
        </w:rPr>
        <w:t>(таблица №3).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80"/>
        <w:gridCol w:w="553"/>
        <w:gridCol w:w="5797"/>
        <w:gridCol w:w="315"/>
        <w:gridCol w:w="1515"/>
        <w:gridCol w:w="27"/>
      </w:tblGrid>
      <w:tr w:rsidR="000F5B9D" w:rsidRPr="007F26D7" w:rsidTr="007A4C88">
        <w:trPr>
          <w:trHeight w:val="375"/>
        </w:trPr>
        <w:tc>
          <w:tcPr>
            <w:tcW w:w="1433" w:type="dxa"/>
            <w:gridSpan w:val="2"/>
            <w:shd w:val="clear" w:color="auto" w:fill="auto"/>
            <w:noWrap/>
            <w:vAlign w:val="bottom"/>
            <w:hideMark/>
          </w:tcPr>
          <w:p w:rsidR="000F5B9D" w:rsidRPr="007F26D7" w:rsidRDefault="000F5B9D" w:rsidP="000F5B9D">
            <w:pPr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hAnsi="Times New Roman" w:cs="Times New Roman"/>
                <w:sz w:val="28"/>
                <w:szCs w:val="28"/>
              </w:rPr>
              <w:t>Таблица 3</w:t>
            </w:r>
          </w:p>
        </w:tc>
        <w:tc>
          <w:tcPr>
            <w:tcW w:w="6128" w:type="dxa"/>
            <w:shd w:val="clear" w:color="auto" w:fill="auto"/>
            <w:vAlign w:val="bottom"/>
            <w:hideMark/>
          </w:tcPr>
          <w:p w:rsidR="000F5B9D" w:rsidRPr="007F26D7" w:rsidRDefault="000F5B9D" w:rsidP="000F5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gridSpan w:val="3"/>
            <w:shd w:val="clear" w:color="auto" w:fill="auto"/>
            <w:noWrap/>
            <w:vAlign w:val="bottom"/>
            <w:hideMark/>
          </w:tcPr>
          <w:p w:rsidR="000F5B9D" w:rsidRPr="007F26D7" w:rsidRDefault="000F5B9D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13765" w:rsidRPr="007F26D7" w:rsidTr="007A4C88">
        <w:trPr>
          <w:gridAfter w:val="1"/>
          <w:wAfter w:w="27" w:type="dxa"/>
          <w:trHeight w:val="6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№                п/п</w:t>
            </w: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заимствований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13765" w:rsidRPr="007F26D7" w:rsidTr="007A4C88">
        <w:trPr>
          <w:gridAfter w:val="1"/>
          <w:wAfter w:w="27" w:type="dxa"/>
          <w:trHeight w:val="63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765" w:rsidRPr="007F26D7" w:rsidRDefault="00113765" w:rsidP="00113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Муниципальные ценные бумаги Апшеронского городского поселения Апшеронского района, всего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13765" w:rsidRPr="007F26D7" w:rsidTr="007A4C88">
        <w:trPr>
          <w:gridAfter w:val="1"/>
          <w:wAfter w:w="27" w:type="dxa"/>
          <w:trHeight w:val="342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3765" w:rsidRPr="007F26D7" w:rsidTr="007A4C88">
        <w:trPr>
          <w:gridAfter w:val="1"/>
          <w:wAfter w:w="27" w:type="dxa"/>
          <w:trHeight w:val="342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3765" w:rsidRPr="007F26D7" w:rsidTr="007A4C88">
        <w:trPr>
          <w:gridAfter w:val="1"/>
          <w:wAfter w:w="27" w:type="dxa"/>
          <w:trHeight w:val="96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765" w:rsidRPr="007F26D7" w:rsidRDefault="00113765" w:rsidP="00113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Кредиты,  привлеченные</w:t>
            </w:r>
            <w:proofErr w:type="gramEnd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бюджет  Апшеронского городского поселения  от кредитных организаций Российской Федерации, 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8923B0" w:rsidP="0089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113765"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привлеченные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8923B0" w:rsidP="0089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113765"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4F6140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765" w:rsidRPr="007F26D7" w:rsidTr="007A4C88">
        <w:trPr>
          <w:gridAfter w:val="1"/>
          <w:wAfter w:w="27" w:type="dxa"/>
          <w:trHeight w:val="945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765" w:rsidRPr="007F26D7" w:rsidRDefault="00113765" w:rsidP="00113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Бюджетные </w:t>
            </w:r>
            <w:proofErr w:type="gramStart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кредиты,  привлеченные</w:t>
            </w:r>
            <w:proofErr w:type="gramEnd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бюджет  Апшеронского городского поселения  от других  бюджетов бюджетной системы Российской Федерации, 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3C2804" w:rsidP="003C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113765"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привлеченные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3C2804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113765"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3C30CF" w:rsidRDefault="003C30CF" w:rsidP="004639B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39B8" w:rsidRPr="007F26D7" w:rsidRDefault="004639B8" w:rsidP="004639B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4639B8" w:rsidRPr="007F26D7" w:rsidRDefault="004639B8" w:rsidP="004639B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администрации Апшеронского городского</w:t>
      </w:r>
    </w:p>
    <w:p w:rsidR="004639B8" w:rsidRPr="007F26D7" w:rsidRDefault="004639B8" w:rsidP="004639B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поселения Апшеронского района                      </w:t>
      </w:r>
      <w:r w:rsidR="00A3638D" w:rsidRPr="007F26D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30C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3638D" w:rsidRPr="007F2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И.А.Ивашиненко</w:t>
      </w:r>
      <w:proofErr w:type="spellEnd"/>
    </w:p>
    <w:sectPr w:rsidR="004639B8" w:rsidRPr="007F26D7" w:rsidSect="003B4F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355" w:rsidRDefault="00646355" w:rsidP="003B4F1B">
      <w:pPr>
        <w:spacing w:after="0" w:line="240" w:lineRule="auto"/>
      </w:pPr>
      <w:r>
        <w:separator/>
      </w:r>
    </w:p>
  </w:endnote>
  <w:endnote w:type="continuationSeparator" w:id="0">
    <w:p w:rsidR="00646355" w:rsidRDefault="00646355" w:rsidP="003B4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914" w:rsidRDefault="0093491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914" w:rsidRDefault="0093491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914" w:rsidRDefault="0093491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355" w:rsidRDefault="00646355" w:rsidP="003B4F1B">
      <w:pPr>
        <w:spacing w:after="0" w:line="240" w:lineRule="auto"/>
      </w:pPr>
      <w:r>
        <w:separator/>
      </w:r>
    </w:p>
  </w:footnote>
  <w:footnote w:type="continuationSeparator" w:id="0">
    <w:p w:rsidR="00646355" w:rsidRDefault="00646355" w:rsidP="003B4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914" w:rsidRDefault="0093491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166157"/>
    </w:sdtPr>
    <w:sdtEndPr/>
    <w:sdtContent>
      <w:p w:rsidR="00934914" w:rsidRDefault="00934914">
        <w:pPr>
          <w:pStyle w:val="ad"/>
          <w:jc w:val="center"/>
        </w:pPr>
        <w:r w:rsidRPr="003B4F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4F1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B4F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23B0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3B4F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4914" w:rsidRDefault="0093491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914" w:rsidRDefault="0093491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204EF"/>
    <w:multiLevelType w:val="hybridMultilevel"/>
    <w:tmpl w:val="C526CAF6"/>
    <w:lvl w:ilvl="0" w:tplc="C3146EA2">
      <w:start w:val="1"/>
      <w:numFmt w:val="decimal"/>
      <w:lvlText w:val="%1."/>
      <w:lvlJc w:val="left"/>
      <w:pPr>
        <w:ind w:left="1773" w:hanging="1065"/>
      </w:pPr>
      <w:rPr>
        <w:rFonts w:eastAsiaTheme="minorEastAsia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E06370"/>
    <w:multiLevelType w:val="multilevel"/>
    <w:tmpl w:val="195644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4BE71263"/>
    <w:multiLevelType w:val="hybridMultilevel"/>
    <w:tmpl w:val="AE88238C"/>
    <w:lvl w:ilvl="0" w:tplc="5F40A9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2466E7"/>
    <w:multiLevelType w:val="hybridMultilevel"/>
    <w:tmpl w:val="3CAE66E0"/>
    <w:lvl w:ilvl="0" w:tplc="3FC284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6F60C18"/>
    <w:multiLevelType w:val="hybridMultilevel"/>
    <w:tmpl w:val="0956838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3139"/>
    <w:rsid w:val="0000041F"/>
    <w:rsid w:val="00001A7F"/>
    <w:rsid w:val="000043D3"/>
    <w:rsid w:val="00010EE8"/>
    <w:rsid w:val="00012FC7"/>
    <w:rsid w:val="000328A0"/>
    <w:rsid w:val="0004172F"/>
    <w:rsid w:val="00050B55"/>
    <w:rsid w:val="00075FA4"/>
    <w:rsid w:val="00081D09"/>
    <w:rsid w:val="000832A2"/>
    <w:rsid w:val="00083D56"/>
    <w:rsid w:val="000C24B4"/>
    <w:rsid w:val="000C637E"/>
    <w:rsid w:val="000C7A94"/>
    <w:rsid w:val="000D5E42"/>
    <w:rsid w:val="000E7883"/>
    <w:rsid w:val="000F0418"/>
    <w:rsid w:val="000F2B4F"/>
    <w:rsid w:val="000F5B9D"/>
    <w:rsid w:val="001000AE"/>
    <w:rsid w:val="00100B9F"/>
    <w:rsid w:val="001021B8"/>
    <w:rsid w:val="00104ABC"/>
    <w:rsid w:val="00110DCB"/>
    <w:rsid w:val="00113381"/>
    <w:rsid w:val="00113765"/>
    <w:rsid w:val="0011465C"/>
    <w:rsid w:val="00115F3A"/>
    <w:rsid w:val="001270BA"/>
    <w:rsid w:val="00132B03"/>
    <w:rsid w:val="0013528D"/>
    <w:rsid w:val="00152A12"/>
    <w:rsid w:val="00155B6B"/>
    <w:rsid w:val="00160EF9"/>
    <w:rsid w:val="00164845"/>
    <w:rsid w:val="001811D2"/>
    <w:rsid w:val="001863F5"/>
    <w:rsid w:val="001A06AD"/>
    <w:rsid w:val="001A4800"/>
    <w:rsid w:val="001A6244"/>
    <w:rsid w:val="001B1B90"/>
    <w:rsid w:val="001C5194"/>
    <w:rsid w:val="001C6450"/>
    <w:rsid w:val="001E36AF"/>
    <w:rsid w:val="001E5370"/>
    <w:rsid w:val="001E777D"/>
    <w:rsid w:val="001F0B71"/>
    <w:rsid w:val="0020211A"/>
    <w:rsid w:val="00216875"/>
    <w:rsid w:val="00241ED1"/>
    <w:rsid w:val="002432A5"/>
    <w:rsid w:val="00245381"/>
    <w:rsid w:val="002477DE"/>
    <w:rsid w:val="00252C71"/>
    <w:rsid w:val="002540A1"/>
    <w:rsid w:val="00270A65"/>
    <w:rsid w:val="002757AD"/>
    <w:rsid w:val="00277025"/>
    <w:rsid w:val="00280FB1"/>
    <w:rsid w:val="002832A1"/>
    <w:rsid w:val="002A52EC"/>
    <w:rsid w:val="002B3A33"/>
    <w:rsid w:val="002B5726"/>
    <w:rsid w:val="002B58BF"/>
    <w:rsid w:val="002B6C44"/>
    <w:rsid w:val="002B7E0C"/>
    <w:rsid w:val="002C0F15"/>
    <w:rsid w:val="002C4A5D"/>
    <w:rsid w:val="002C52B4"/>
    <w:rsid w:val="002E189C"/>
    <w:rsid w:val="002E2B3F"/>
    <w:rsid w:val="002F76ED"/>
    <w:rsid w:val="00316618"/>
    <w:rsid w:val="00324439"/>
    <w:rsid w:val="0033493B"/>
    <w:rsid w:val="00337E06"/>
    <w:rsid w:val="0034079D"/>
    <w:rsid w:val="0034338D"/>
    <w:rsid w:val="00345C4E"/>
    <w:rsid w:val="00346156"/>
    <w:rsid w:val="0035432C"/>
    <w:rsid w:val="0036547F"/>
    <w:rsid w:val="0036603F"/>
    <w:rsid w:val="0037726A"/>
    <w:rsid w:val="00380BDD"/>
    <w:rsid w:val="003A1FE2"/>
    <w:rsid w:val="003A58DC"/>
    <w:rsid w:val="003B4F1B"/>
    <w:rsid w:val="003C0436"/>
    <w:rsid w:val="003C2804"/>
    <w:rsid w:val="003C30CF"/>
    <w:rsid w:val="003C5763"/>
    <w:rsid w:val="003C6BE3"/>
    <w:rsid w:val="003C79D5"/>
    <w:rsid w:val="003D6FF8"/>
    <w:rsid w:val="003F6F21"/>
    <w:rsid w:val="004039A7"/>
    <w:rsid w:val="00410887"/>
    <w:rsid w:val="00426FDB"/>
    <w:rsid w:val="00433EDB"/>
    <w:rsid w:val="004343E1"/>
    <w:rsid w:val="00437387"/>
    <w:rsid w:val="004406C9"/>
    <w:rsid w:val="00447B04"/>
    <w:rsid w:val="00447CE1"/>
    <w:rsid w:val="00454778"/>
    <w:rsid w:val="004639B8"/>
    <w:rsid w:val="00466A36"/>
    <w:rsid w:val="004774FD"/>
    <w:rsid w:val="00490ED8"/>
    <w:rsid w:val="00497731"/>
    <w:rsid w:val="004A0B7C"/>
    <w:rsid w:val="004A3093"/>
    <w:rsid w:val="004A7138"/>
    <w:rsid w:val="004A73C5"/>
    <w:rsid w:val="004A7590"/>
    <w:rsid w:val="004C101A"/>
    <w:rsid w:val="004C38A8"/>
    <w:rsid w:val="004E02ED"/>
    <w:rsid w:val="004E0BA5"/>
    <w:rsid w:val="004E2604"/>
    <w:rsid w:val="004E4243"/>
    <w:rsid w:val="004F1145"/>
    <w:rsid w:val="004F3CCC"/>
    <w:rsid w:val="004F41C1"/>
    <w:rsid w:val="004F6140"/>
    <w:rsid w:val="0050367F"/>
    <w:rsid w:val="0050400B"/>
    <w:rsid w:val="00524BFC"/>
    <w:rsid w:val="005278E0"/>
    <w:rsid w:val="00531ACC"/>
    <w:rsid w:val="00540040"/>
    <w:rsid w:val="005449CA"/>
    <w:rsid w:val="00551CD4"/>
    <w:rsid w:val="005661DF"/>
    <w:rsid w:val="00592D3E"/>
    <w:rsid w:val="005A127C"/>
    <w:rsid w:val="005A6C97"/>
    <w:rsid w:val="005B0915"/>
    <w:rsid w:val="005D21F3"/>
    <w:rsid w:val="005D4530"/>
    <w:rsid w:val="005D7B51"/>
    <w:rsid w:val="005E002D"/>
    <w:rsid w:val="005E017A"/>
    <w:rsid w:val="005E3B0F"/>
    <w:rsid w:val="005E6DD2"/>
    <w:rsid w:val="005E70E1"/>
    <w:rsid w:val="005F142D"/>
    <w:rsid w:val="005F19AD"/>
    <w:rsid w:val="00604ACF"/>
    <w:rsid w:val="00616C0F"/>
    <w:rsid w:val="0062513C"/>
    <w:rsid w:val="006355EE"/>
    <w:rsid w:val="00646355"/>
    <w:rsid w:val="00653815"/>
    <w:rsid w:val="00661730"/>
    <w:rsid w:val="00666F13"/>
    <w:rsid w:val="00667CD4"/>
    <w:rsid w:val="00684788"/>
    <w:rsid w:val="006A0402"/>
    <w:rsid w:val="006A552E"/>
    <w:rsid w:val="006B43E2"/>
    <w:rsid w:val="006B7CEF"/>
    <w:rsid w:val="006C1690"/>
    <w:rsid w:val="006C303E"/>
    <w:rsid w:val="006D078B"/>
    <w:rsid w:val="006D18EC"/>
    <w:rsid w:val="006D19C4"/>
    <w:rsid w:val="006D455C"/>
    <w:rsid w:val="006E31D1"/>
    <w:rsid w:val="006F0B2A"/>
    <w:rsid w:val="0070521A"/>
    <w:rsid w:val="00715A4D"/>
    <w:rsid w:val="007259C2"/>
    <w:rsid w:val="00727296"/>
    <w:rsid w:val="00737086"/>
    <w:rsid w:val="00750B40"/>
    <w:rsid w:val="007643DB"/>
    <w:rsid w:val="00783499"/>
    <w:rsid w:val="0079693C"/>
    <w:rsid w:val="007971D2"/>
    <w:rsid w:val="007A16A0"/>
    <w:rsid w:val="007A4C88"/>
    <w:rsid w:val="007A6559"/>
    <w:rsid w:val="007B43C1"/>
    <w:rsid w:val="007C0D0B"/>
    <w:rsid w:val="007C564D"/>
    <w:rsid w:val="007D4E86"/>
    <w:rsid w:val="007E4C63"/>
    <w:rsid w:val="007F26D7"/>
    <w:rsid w:val="007F26F5"/>
    <w:rsid w:val="00817682"/>
    <w:rsid w:val="00832272"/>
    <w:rsid w:val="00842CEC"/>
    <w:rsid w:val="008565F6"/>
    <w:rsid w:val="00857005"/>
    <w:rsid w:val="00876D5E"/>
    <w:rsid w:val="008923B0"/>
    <w:rsid w:val="008A0BE1"/>
    <w:rsid w:val="008A1FFF"/>
    <w:rsid w:val="008A3A67"/>
    <w:rsid w:val="008B7BE8"/>
    <w:rsid w:val="008E0CE7"/>
    <w:rsid w:val="008F13A0"/>
    <w:rsid w:val="008F191D"/>
    <w:rsid w:val="008F58AE"/>
    <w:rsid w:val="00907210"/>
    <w:rsid w:val="00907BF8"/>
    <w:rsid w:val="00914D8E"/>
    <w:rsid w:val="00914FC2"/>
    <w:rsid w:val="00916E56"/>
    <w:rsid w:val="00934914"/>
    <w:rsid w:val="00935CA4"/>
    <w:rsid w:val="00945BA4"/>
    <w:rsid w:val="009602FB"/>
    <w:rsid w:val="00961B75"/>
    <w:rsid w:val="00970EE4"/>
    <w:rsid w:val="00983DF2"/>
    <w:rsid w:val="00984202"/>
    <w:rsid w:val="009A2F5D"/>
    <w:rsid w:val="009A42BF"/>
    <w:rsid w:val="009D3008"/>
    <w:rsid w:val="009E488F"/>
    <w:rsid w:val="009F463A"/>
    <w:rsid w:val="00A001D3"/>
    <w:rsid w:val="00A149FA"/>
    <w:rsid w:val="00A22511"/>
    <w:rsid w:val="00A24E67"/>
    <w:rsid w:val="00A33AD5"/>
    <w:rsid w:val="00A3638D"/>
    <w:rsid w:val="00A41F5D"/>
    <w:rsid w:val="00A42610"/>
    <w:rsid w:val="00A4704A"/>
    <w:rsid w:val="00A54516"/>
    <w:rsid w:val="00A71341"/>
    <w:rsid w:val="00A7663E"/>
    <w:rsid w:val="00A95BC7"/>
    <w:rsid w:val="00AA558B"/>
    <w:rsid w:val="00AA5B76"/>
    <w:rsid w:val="00AB0F19"/>
    <w:rsid w:val="00AC6E9B"/>
    <w:rsid w:val="00AD51A9"/>
    <w:rsid w:val="00AE15E8"/>
    <w:rsid w:val="00AE3B9D"/>
    <w:rsid w:val="00AE5F5A"/>
    <w:rsid w:val="00AF6F8F"/>
    <w:rsid w:val="00B37A9A"/>
    <w:rsid w:val="00B37C25"/>
    <w:rsid w:val="00B47340"/>
    <w:rsid w:val="00B65030"/>
    <w:rsid w:val="00B7046B"/>
    <w:rsid w:val="00B740DC"/>
    <w:rsid w:val="00B76F91"/>
    <w:rsid w:val="00B955E8"/>
    <w:rsid w:val="00B96EE2"/>
    <w:rsid w:val="00BE23A9"/>
    <w:rsid w:val="00BE5B87"/>
    <w:rsid w:val="00BF2AFC"/>
    <w:rsid w:val="00C16848"/>
    <w:rsid w:val="00C17EB0"/>
    <w:rsid w:val="00C20764"/>
    <w:rsid w:val="00C332BA"/>
    <w:rsid w:val="00C52704"/>
    <w:rsid w:val="00C544F9"/>
    <w:rsid w:val="00C6360F"/>
    <w:rsid w:val="00C67A78"/>
    <w:rsid w:val="00C71436"/>
    <w:rsid w:val="00C749EC"/>
    <w:rsid w:val="00C76A08"/>
    <w:rsid w:val="00C81556"/>
    <w:rsid w:val="00C9549F"/>
    <w:rsid w:val="00C963A4"/>
    <w:rsid w:val="00C967E8"/>
    <w:rsid w:val="00CA6522"/>
    <w:rsid w:val="00CB06DD"/>
    <w:rsid w:val="00CB7675"/>
    <w:rsid w:val="00CC200A"/>
    <w:rsid w:val="00CC5545"/>
    <w:rsid w:val="00CD1FA2"/>
    <w:rsid w:val="00CE4990"/>
    <w:rsid w:val="00CF433C"/>
    <w:rsid w:val="00CF46BB"/>
    <w:rsid w:val="00D04CF6"/>
    <w:rsid w:val="00D262A5"/>
    <w:rsid w:val="00D350AD"/>
    <w:rsid w:val="00D354C1"/>
    <w:rsid w:val="00D40053"/>
    <w:rsid w:val="00D41951"/>
    <w:rsid w:val="00D46C3C"/>
    <w:rsid w:val="00D5212A"/>
    <w:rsid w:val="00D56A77"/>
    <w:rsid w:val="00D67F9B"/>
    <w:rsid w:val="00D732E2"/>
    <w:rsid w:val="00D74E7E"/>
    <w:rsid w:val="00D777AE"/>
    <w:rsid w:val="00D9233C"/>
    <w:rsid w:val="00D9622D"/>
    <w:rsid w:val="00DA5576"/>
    <w:rsid w:val="00DA6D3A"/>
    <w:rsid w:val="00DA734C"/>
    <w:rsid w:val="00DB6EB9"/>
    <w:rsid w:val="00DC0C9B"/>
    <w:rsid w:val="00DC33CE"/>
    <w:rsid w:val="00DC44DD"/>
    <w:rsid w:val="00DD1CB6"/>
    <w:rsid w:val="00DD3139"/>
    <w:rsid w:val="00DE5368"/>
    <w:rsid w:val="00DE7D70"/>
    <w:rsid w:val="00DF4D82"/>
    <w:rsid w:val="00E034F5"/>
    <w:rsid w:val="00E162FD"/>
    <w:rsid w:val="00E231D6"/>
    <w:rsid w:val="00E26710"/>
    <w:rsid w:val="00E313B0"/>
    <w:rsid w:val="00E433CD"/>
    <w:rsid w:val="00E4637C"/>
    <w:rsid w:val="00E52458"/>
    <w:rsid w:val="00E540FD"/>
    <w:rsid w:val="00E54209"/>
    <w:rsid w:val="00E542C7"/>
    <w:rsid w:val="00E62ACC"/>
    <w:rsid w:val="00E73493"/>
    <w:rsid w:val="00E908C8"/>
    <w:rsid w:val="00E9190A"/>
    <w:rsid w:val="00E94C5D"/>
    <w:rsid w:val="00EA0D3A"/>
    <w:rsid w:val="00EC4322"/>
    <w:rsid w:val="00ED2E53"/>
    <w:rsid w:val="00ED48C1"/>
    <w:rsid w:val="00ED4BCF"/>
    <w:rsid w:val="00ED55FA"/>
    <w:rsid w:val="00ED6E25"/>
    <w:rsid w:val="00EE7556"/>
    <w:rsid w:val="00EE7DFE"/>
    <w:rsid w:val="00F21D65"/>
    <w:rsid w:val="00F34D25"/>
    <w:rsid w:val="00F43CAD"/>
    <w:rsid w:val="00F44C89"/>
    <w:rsid w:val="00F55DE2"/>
    <w:rsid w:val="00F75A21"/>
    <w:rsid w:val="00F8612B"/>
    <w:rsid w:val="00F90412"/>
    <w:rsid w:val="00FA593F"/>
    <w:rsid w:val="00FA5F72"/>
    <w:rsid w:val="00FB3ED6"/>
    <w:rsid w:val="00FB547A"/>
    <w:rsid w:val="00FB79E4"/>
    <w:rsid w:val="00FC5650"/>
    <w:rsid w:val="00FE0074"/>
    <w:rsid w:val="00FE503D"/>
    <w:rsid w:val="00FE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39B97-2011-4B6A-9784-BC15E0C6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31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D3139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DD313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DD3139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3"/>
    <w:basedOn w:val="a"/>
    <w:link w:val="32"/>
    <w:rsid w:val="00DD3139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DD31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lock Text"/>
    <w:basedOn w:val="a"/>
    <w:rsid w:val="00DD3139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Title"/>
    <w:basedOn w:val="a"/>
    <w:link w:val="a7"/>
    <w:qFormat/>
    <w:rsid w:val="00DD3139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a7">
    <w:name w:val="Название Знак"/>
    <w:basedOn w:val="a0"/>
    <w:link w:val="a6"/>
    <w:rsid w:val="00DD3139"/>
    <w:rPr>
      <w:rFonts w:ascii="Times New Roman" w:eastAsia="Times New Roman" w:hAnsi="Times New Roman" w:cs="Times New Roman"/>
      <w:i/>
      <w:sz w:val="28"/>
      <w:szCs w:val="20"/>
    </w:rPr>
  </w:style>
  <w:style w:type="paragraph" w:styleId="a8">
    <w:name w:val="No Spacing"/>
    <w:uiPriority w:val="1"/>
    <w:qFormat/>
    <w:rsid w:val="00DD3139"/>
    <w:pPr>
      <w:spacing w:after="0" w:line="240" w:lineRule="auto"/>
    </w:pPr>
  </w:style>
  <w:style w:type="paragraph" w:styleId="a9">
    <w:name w:val="Body Text Indent"/>
    <w:basedOn w:val="a"/>
    <w:link w:val="aa"/>
    <w:uiPriority w:val="99"/>
    <w:semiHidden/>
    <w:unhideWhenUsed/>
    <w:rsid w:val="00DD313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D3139"/>
  </w:style>
  <w:style w:type="paragraph" w:customStyle="1" w:styleId="ConsNormal">
    <w:name w:val="ConsNormal"/>
    <w:rsid w:val="00DD3139"/>
    <w:pPr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D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3139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AE5F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7969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693C"/>
  </w:style>
  <w:style w:type="paragraph" w:styleId="ad">
    <w:name w:val="header"/>
    <w:basedOn w:val="a"/>
    <w:link w:val="ae"/>
    <w:uiPriority w:val="99"/>
    <w:unhideWhenUsed/>
    <w:rsid w:val="003B4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B4F1B"/>
  </w:style>
  <w:style w:type="paragraph" w:styleId="af">
    <w:name w:val="footer"/>
    <w:basedOn w:val="a"/>
    <w:link w:val="af0"/>
    <w:uiPriority w:val="99"/>
    <w:semiHidden/>
    <w:unhideWhenUsed/>
    <w:rsid w:val="003B4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B4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Объём налоговых и неналоговых доходов              на 2024 год                        </a:t>
            </a:r>
          </a:p>
          <a:p>
            <a:pPr>
              <a:defRPr/>
            </a:pPr>
            <a:r>
              <a:rPr lang="ru-RU"/>
              <a:t> 174,2 млн.руб.                                                                                        </a:t>
            </a:r>
          </a:p>
        </c:rich>
      </c:tx>
      <c:layout>
        <c:manualLayout>
          <c:xMode val="edge"/>
          <c:yMode val="edge"/>
          <c:x val="0.12640037182852143"/>
          <c:y val="1.1126564673157162E-2"/>
        </c:manualLayout>
      </c:layout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4907407407407413E-2"/>
          <c:y val="0.15561961462134308"/>
          <c:w val="0.82407407407407407"/>
          <c:h val="0.3917642916586646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Объём собственных даходов на 2023 год                         180,0 млн.руб.                                                                                        </c:v>
                </c:pt>
              </c:strCache>
            </c:strRef>
          </c:tx>
          <c:dLbls>
            <c:dLbl>
              <c:idx val="6"/>
              <c:layout>
                <c:manualLayout>
                  <c:x val="-7.5589730971128949E-2"/>
                  <c:y val="-2.0391862343585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2.4131762175561539E-2"/>
                  <c:y val="-3.39004345768254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0.11083816345873444"/>
                  <c:y val="-1.75069919538746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Лист1!$A$2:$A$13</c:f>
              <c:strCache>
                <c:ptCount val="12"/>
                <c:pt idx="0">
                  <c:v>01 НДФЛ -64,7</c:v>
                </c:pt>
                <c:pt idx="1">
                  <c:v>02 ЕСХН -0,146</c:v>
                </c:pt>
                <c:pt idx="2">
                  <c:v>03 Налог на имущество физических лиц - 24,7</c:v>
                </c:pt>
                <c:pt idx="3">
                  <c:v>04 Земельный налог - 28,3</c:v>
                </c:pt>
                <c:pt idx="4">
                  <c:v>05 Арендная плата за землю - 16,7</c:v>
                </c:pt>
                <c:pt idx="5">
                  <c:v>06 Акцизы - 13,9</c:v>
                </c:pt>
                <c:pt idx="6">
                  <c:v>07 Доходы от сдачи имущеста в аренду - 16,6</c:v>
                </c:pt>
                <c:pt idx="7">
                  <c:v>08 Доходы от оказания платных услуг - 0,15</c:v>
                </c:pt>
                <c:pt idx="8">
                  <c:v>09 Штрафы - 1,3</c:v>
                </c:pt>
                <c:pt idx="9">
                  <c:v>10 Доходы от продажи земельных участков - 4,53</c:v>
                </c:pt>
                <c:pt idx="10">
                  <c:v>11 Доходы от продажи имущества - 3,2</c:v>
                </c:pt>
                <c:pt idx="11">
                  <c:v>12 Прочие не налоговые доходы - 0,11</c:v>
                </c:pt>
              </c:strCache>
            </c:strRef>
          </c:cat>
          <c:val>
            <c:numRef>
              <c:f>Лист1!$B$2:$B$13</c:f>
              <c:numCache>
                <c:formatCode>0.00</c:formatCode>
                <c:ptCount val="12"/>
                <c:pt idx="0">
                  <c:v>37.159999999999997</c:v>
                </c:pt>
                <c:pt idx="1">
                  <c:v>0.08</c:v>
                </c:pt>
                <c:pt idx="2">
                  <c:v>14.15</c:v>
                </c:pt>
                <c:pt idx="3">
                  <c:v>16.22</c:v>
                </c:pt>
                <c:pt idx="4">
                  <c:v>9.59</c:v>
                </c:pt>
                <c:pt idx="5">
                  <c:v>7.96</c:v>
                </c:pt>
                <c:pt idx="6">
                  <c:v>9.5500000000000007</c:v>
                </c:pt>
                <c:pt idx="7">
                  <c:v>0.09</c:v>
                </c:pt>
                <c:pt idx="8">
                  <c:v>0.72</c:v>
                </c:pt>
                <c:pt idx="9">
                  <c:v>2.6</c:v>
                </c:pt>
                <c:pt idx="10">
                  <c:v>1.83</c:v>
                </c:pt>
                <c:pt idx="11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0.20392989938757655"/>
          <c:y val="0.53903036807464444"/>
          <c:w val="0.60602890784485275"/>
          <c:h val="0.43315322024246272"/>
        </c:manualLayout>
      </c:layout>
      <c:overlay val="0"/>
      <c:spPr>
        <a:ln w="3175"/>
        <a:effectLst>
          <a:outerShdw blurRad="38100" sx="1000" sy="1000" algn="ctr" rotWithShape="0">
            <a:srgbClr val="000000"/>
          </a:outerShdw>
        </a:effectLst>
      </c:sp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Объём расходов на 2024 год                         285,4 млн.руб.                                                                                        по разделам классификации расходов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Объём расходов на 2021 год                         260,7 млн.руб.                                                                                        по разделам классификации расходов</c:v>
                </c:pt>
              </c:strCache>
            </c:strRef>
          </c:tx>
          <c:dLbls>
            <c:dLbl>
              <c:idx val="6"/>
              <c:layout>
                <c:manualLayout>
                  <c:x val="-7.5589730971128824E-2"/>
                  <c:y val="-2.0391862343585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2.4131762175561504E-2"/>
                  <c:y val="-3.39004345768254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0.11083816345873437"/>
                  <c:y val="-1.75069919538746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01 Общегосударственные вопросы -36,6</c:v>
                </c:pt>
                <c:pt idx="1">
                  <c:v>03 Национальная безопасность и правоохранительная деятельность -24,2</c:v>
                </c:pt>
                <c:pt idx="2">
                  <c:v>04 Национальная экономика - 31,49</c:v>
                </c:pt>
                <c:pt idx="3">
                  <c:v>05 Жилищно-коммунальное хозяйство - 123,42</c:v>
                </c:pt>
                <c:pt idx="4">
                  <c:v>07 Образование - 1,48</c:v>
                </c:pt>
                <c:pt idx="5">
                  <c:v>08 Культура, кинематография - 54,9</c:v>
                </c:pt>
                <c:pt idx="6">
                  <c:v>10 Социальная политика - 8,81</c:v>
                </c:pt>
                <c:pt idx="7">
                  <c:v>11 Физическая культура и спорт - 4,38</c:v>
                </c:pt>
                <c:pt idx="8">
                  <c:v>13 Обслуживание государственного и муниципального долга - 0,1</c:v>
                </c:pt>
              </c:strCache>
            </c:strRef>
          </c:cat>
          <c:val>
            <c:numRef>
              <c:f>Лист1!$B$2:$B$10</c:f>
              <c:numCache>
                <c:formatCode>0.00</c:formatCode>
                <c:ptCount val="9"/>
                <c:pt idx="0">
                  <c:v>12.82</c:v>
                </c:pt>
                <c:pt idx="1">
                  <c:v>8.48</c:v>
                </c:pt>
                <c:pt idx="2">
                  <c:v>11.04</c:v>
                </c:pt>
                <c:pt idx="3">
                  <c:v>43.24</c:v>
                </c:pt>
                <c:pt idx="4">
                  <c:v>0.53</c:v>
                </c:pt>
                <c:pt idx="5">
                  <c:v>19.239999999999998</c:v>
                </c:pt>
                <c:pt idx="6">
                  <c:v>3.08</c:v>
                </c:pt>
                <c:pt idx="7">
                  <c:v>1.54</c:v>
                </c:pt>
                <c:pt idx="8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overlay val="0"/>
      <c:spPr>
        <a:ln w="3175"/>
        <a:effectLst>
          <a:outerShdw blurRad="38100" sx="1000" sy="1000" algn="ctr" rotWithShape="0">
            <a:srgbClr val="000000"/>
          </a:outerShdw>
        </a:effectLst>
      </c:sp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7E8A3-C702-44FB-BDD3-94CA3C6E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14</Pages>
  <Words>3616</Words>
  <Characters>20615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Ivashinenko</cp:lastModifiedBy>
  <cp:revision>59</cp:revision>
  <cp:lastPrinted>2019-10-29T07:14:00Z</cp:lastPrinted>
  <dcterms:created xsi:type="dcterms:W3CDTF">2019-10-29T09:55:00Z</dcterms:created>
  <dcterms:modified xsi:type="dcterms:W3CDTF">2023-11-07T13:56:00Z</dcterms:modified>
</cp:coreProperties>
</file>